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7F025" w14:textId="77777777" w:rsidR="003B2EA7" w:rsidRDefault="00501829" w:rsidP="00D4566D">
      <w:pPr>
        <w:pStyle w:val="Title"/>
      </w:pPr>
      <w:r>
        <w:fldChar w:fldCharType="begin"/>
      </w:r>
      <w:r w:rsidR="003B2EA7">
        <w:instrText xml:space="preserve"> SEQ CHAPTER \h \r 1</w:instrText>
      </w:r>
      <w:r>
        <w:fldChar w:fldCharType="end"/>
      </w:r>
      <w:r w:rsidR="003B2EA7">
        <w:t>Health Systems Agency of Northern Virginia</w:t>
      </w:r>
    </w:p>
    <w:p w14:paraId="716498CD" w14:textId="77777777" w:rsidR="003B2EA7" w:rsidRPr="003F75EF" w:rsidRDefault="00E16635" w:rsidP="003F75EF">
      <w:pPr>
        <w:jc w:val="center"/>
        <w:rPr>
          <w:b/>
        </w:rPr>
      </w:pPr>
      <w:r>
        <w:rPr>
          <w:b/>
        </w:rPr>
        <w:t>3040 Williams Drive, Suite 200</w:t>
      </w:r>
    </w:p>
    <w:p w14:paraId="3B46D6C0" w14:textId="77777777" w:rsidR="003B2EA7" w:rsidRPr="003F75EF" w:rsidRDefault="003B2EA7" w:rsidP="003F75EF">
      <w:pPr>
        <w:jc w:val="center"/>
        <w:rPr>
          <w:b/>
        </w:rPr>
      </w:pPr>
      <w:r w:rsidRPr="003F75EF">
        <w:rPr>
          <w:b/>
        </w:rPr>
        <w:t>Fa</w:t>
      </w:r>
      <w:r w:rsidR="00E16635">
        <w:rPr>
          <w:b/>
        </w:rPr>
        <w:t>irfax, Virginia 22031</w:t>
      </w:r>
    </w:p>
    <w:p w14:paraId="27A95B58" w14:textId="77777777" w:rsidR="003B2EA7" w:rsidRPr="003F75EF" w:rsidRDefault="003B2EA7" w:rsidP="003F75EF">
      <w:pPr>
        <w:jc w:val="center"/>
        <w:rPr>
          <w:b/>
        </w:rPr>
      </w:pPr>
      <w:r w:rsidRPr="003F75EF">
        <w:rPr>
          <w:b/>
        </w:rPr>
        <w:t>Phone: 7</w:t>
      </w:r>
      <w:r w:rsidR="00DA36E9">
        <w:rPr>
          <w:b/>
        </w:rPr>
        <w:t>03-573-3100     Fax 703-573-3101</w:t>
      </w:r>
    </w:p>
    <w:p w14:paraId="2721FF69" w14:textId="77777777" w:rsidR="003B2EA7" w:rsidRPr="003F75EF" w:rsidRDefault="003B2EA7" w:rsidP="003F75EF">
      <w:pPr>
        <w:jc w:val="center"/>
        <w:rPr>
          <w:b/>
        </w:rPr>
      </w:pPr>
      <w:r w:rsidRPr="003F75EF">
        <w:rPr>
          <w:b/>
        </w:rPr>
        <w:t>email: hsanv@aol.com</w:t>
      </w:r>
    </w:p>
    <w:p w14:paraId="5E501AB6" w14:textId="77777777" w:rsidR="003B2EA7" w:rsidRDefault="003B2EA7" w:rsidP="00D4566D"/>
    <w:p w14:paraId="421DA177" w14:textId="77777777" w:rsidR="003B2EA7" w:rsidRDefault="003B2EA7" w:rsidP="00D4566D">
      <w:r>
        <w:tab/>
      </w:r>
    </w:p>
    <w:p w14:paraId="05C83AE9" w14:textId="77777777" w:rsidR="00854904" w:rsidRDefault="00854904" w:rsidP="00D4566D"/>
    <w:p w14:paraId="6D88A69A" w14:textId="77777777" w:rsidR="00311F7B" w:rsidRDefault="00311F7B" w:rsidP="00D4566D"/>
    <w:p w14:paraId="2E6C575C" w14:textId="77777777" w:rsidR="00311F7B" w:rsidRDefault="00311F7B" w:rsidP="00D4566D"/>
    <w:p w14:paraId="0D60302E" w14:textId="77777777" w:rsidR="003B2EA7" w:rsidRDefault="003B2EA7" w:rsidP="00D4566D">
      <w:r>
        <w:tab/>
      </w:r>
      <w:r>
        <w:tab/>
      </w:r>
      <w:r>
        <w:tab/>
      </w:r>
      <w:r>
        <w:tab/>
      </w:r>
      <w:r>
        <w:tab/>
      </w:r>
    </w:p>
    <w:p w14:paraId="3E24FA53" w14:textId="297B1121" w:rsidR="003B2EA7" w:rsidRPr="003F75EF" w:rsidRDefault="00EB4FA2" w:rsidP="00D4566D">
      <w:pPr>
        <w:rPr>
          <w:b/>
        </w:rPr>
      </w:pPr>
      <w:r>
        <w:rPr>
          <w:b/>
        </w:rPr>
        <w:t xml:space="preserve">April </w:t>
      </w:r>
      <w:r w:rsidR="0019548F">
        <w:rPr>
          <w:b/>
        </w:rPr>
        <w:t>2</w:t>
      </w:r>
      <w:r w:rsidR="00E16635">
        <w:rPr>
          <w:b/>
        </w:rPr>
        <w:t>, 20</w:t>
      </w:r>
      <w:r w:rsidR="002F67F1">
        <w:rPr>
          <w:b/>
        </w:rPr>
        <w:t>25</w:t>
      </w:r>
    </w:p>
    <w:p w14:paraId="2BA42309" w14:textId="77777777" w:rsidR="003B2EA7" w:rsidRDefault="003B2EA7" w:rsidP="00D4566D">
      <w:pPr>
        <w:rPr>
          <w:b/>
        </w:rPr>
      </w:pPr>
    </w:p>
    <w:p w14:paraId="18B5EF07" w14:textId="77777777" w:rsidR="003B2EA7" w:rsidRPr="003F75EF" w:rsidRDefault="003B2EA7" w:rsidP="00D4566D">
      <w:pPr>
        <w:rPr>
          <w:b/>
        </w:rPr>
      </w:pPr>
    </w:p>
    <w:p w14:paraId="169FAAA0" w14:textId="5323BA1E" w:rsidR="003B2EA7" w:rsidRPr="00D86265" w:rsidRDefault="003B2EA7" w:rsidP="00D4566D">
      <w:pPr>
        <w:rPr>
          <w:b/>
        </w:rPr>
      </w:pPr>
      <w:r w:rsidRPr="003F75EF">
        <w:rPr>
          <w:b/>
        </w:rPr>
        <w:t>TO</w:t>
      </w:r>
      <w:r w:rsidR="00810B6C" w:rsidRPr="003F75EF">
        <w:rPr>
          <w:b/>
        </w:rPr>
        <w:t xml:space="preserve">: </w:t>
      </w:r>
      <w:r w:rsidR="00810B6C">
        <w:rPr>
          <w:b/>
        </w:rPr>
        <w:tab/>
      </w:r>
      <w:r w:rsidR="00810B6C">
        <w:rPr>
          <w:b/>
        </w:rPr>
        <w:tab/>
      </w:r>
      <w:r w:rsidR="00810B6C" w:rsidRPr="003F75EF">
        <w:rPr>
          <w:b/>
        </w:rPr>
        <w:t>HSANV</w:t>
      </w:r>
      <w:r w:rsidR="00E0374F">
        <w:rPr>
          <w:b/>
        </w:rPr>
        <w:t xml:space="preserve"> </w:t>
      </w:r>
      <w:r w:rsidRPr="00D86265">
        <w:rPr>
          <w:b/>
        </w:rPr>
        <w:t>Board of Directors</w:t>
      </w:r>
    </w:p>
    <w:p w14:paraId="6308F85B" w14:textId="09CBEE8A" w:rsidR="003B2EA7" w:rsidRPr="00D86265" w:rsidRDefault="003B2EA7" w:rsidP="00D86265">
      <w:pPr>
        <w:rPr>
          <w:b/>
        </w:rPr>
      </w:pPr>
      <w:r w:rsidRPr="00D86265">
        <w:rPr>
          <w:b/>
        </w:rPr>
        <w:tab/>
      </w:r>
      <w:r w:rsidRPr="00D86265">
        <w:rPr>
          <w:b/>
        </w:rPr>
        <w:tab/>
        <w:t>Interested Parties</w:t>
      </w:r>
    </w:p>
    <w:p w14:paraId="6A2CB291" w14:textId="77777777" w:rsidR="003B2EA7" w:rsidRPr="003F75EF" w:rsidRDefault="003B2EA7" w:rsidP="00D4566D">
      <w:pPr>
        <w:rPr>
          <w:b/>
        </w:rPr>
      </w:pPr>
    </w:p>
    <w:p w14:paraId="4749102A" w14:textId="505AB100" w:rsidR="003B2EA7" w:rsidRPr="003F75EF" w:rsidRDefault="003B2EA7" w:rsidP="00D4566D">
      <w:pPr>
        <w:rPr>
          <w:b/>
        </w:rPr>
      </w:pPr>
      <w:r w:rsidRPr="003F75EF">
        <w:rPr>
          <w:b/>
        </w:rPr>
        <w:t>FROM:</w:t>
      </w:r>
      <w:r w:rsidRPr="003F75EF">
        <w:rPr>
          <w:b/>
        </w:rPr>
        <w:tab/>
        <w:t>Dean Montgomery</w:t>
      </w:r>
    </w:p>
    <w:p w14:paraId="3366E8A3" w14:textId="77777777" w:rsidR="00E900BE" w:rsidRDefault="00E900BE" w:rsidP="00D4566D">
      <w:pPr>
        <w:rPr>
          <w:b/>
        </w:rPr>
      </w:pPr>
    </w:p>
    <w:p w14:paraId="58FDE463" w14:textId="13B8E2BE" w:rsidR="003B2EA7" w:rsidRDefault="003B2EA7" w:rsidP="00D4566D">
      <w:pPr>
        <w:rPr>
          <w:b/>
        </w:rPr>
      </w:pPr>
      <w:r w:rsidRPr="003F75EF">
        <w:rPr>
          <w:b/>
        </w:rPr>
        <w:t>SUBJECT:</w:t>
      </w:r>
      <w:r w:rsidRPr="003F75EF">
        <w:rPr>
          <w:b/>
        </w:rPr>
        <w:tab/>
        <w:t>Certificate of Public Need Application</w:t>
      </w:r>
    </w:p>
    <w:p w14:paraId="283D18C9" w14:textId="77777777" w:rsidR="007840C7" w:rsidRDefault="00E16635" w:rsidP="00E16635">
      <w:pPr>
        <w:ind w:left="1440"/>
        <w:rPr>
          <w:b/>
        </w:rPr>
      </w:pPr>
      <w:r>
        <w:rPr>
          <w:b/>
        </w:rPr>
        <w:t>Inova Healt</w:t>
      </w:r>
      <w:r w:rsidR="005B3C9A">
        <w:rPr>
          <w:b/>
        </w:rPr>
        <w:t>h</w:t>
      </w:r>
      <w:r w:rsidR="00CE32A8">
        <w:rPr>
          <w:b/>
        </w:rPr>
        <w:t xml:space="preserve"> Care Services, Add 48 </w:t>
      </w:r>
      <w:r w:rsidR="00DA36E9">
        <w:rPr>
          <w:b/>
        </w:rPr>
        <w:t xml:space="preserve">Beds </w:t>
      </w:r>
      <w:r>
        <w:rPr>
          <w:b/>
        </w:rPr>
        <w:t xml:space="preserve">at Inova Fairfax Hospital </w:t>
      </w:r>
    </w:p>
    <w:p w14:paraId="7E7E34E2" w14:textId="5612BF2E" w:rsidR="00DA36E9" w:rsidRDefault="00E16635" w:rsidP="00E16635">
      <w:pPr>
        <w:ind w:left="1440"/>
        <w:rPr>
          <w:b/>
        </w:rPr>
      </w:pPr>
      <w:r>
        <w:rPr>
          <w:b/>
        </w:rPr>
        <w:t>(COPN Request VA-8</w:t>
      </w:r>
      <w:r w:rsidR="002F67F1">
        <w:rPr>
          <w:b/>
        </w:rPr>
        <w:t>803</w:t>
      </w:r>
      <w:r w:rsidR="00DA36E9" w:rsidRPr="00DA36E9">
        <w:rPr>
          <w:b/>
        </w:rPr>
        <w:t>)</w:t>
      </w:r>
    </w:p>
    <w:p w14:paraId="4ABFAFDF" w14:textId="77777777" w:rsidR="003B2EA7" w:rsidRPr="003F75EF" w:rsidRDefault="003B2EA7" w:rsidP="00D4566D">
      <w:pPr>
        <w:rPr>
          <w:b/>
        </w:rPr>
      </w:pPr>
      <w:r w:rsidRPr="003F75EF">
        <w:rPr>
          <w:b/>
        </w:rPr>
        <w:t>________________________________________________________________________________</w:t>
      </w:r>
    </w:p>
    <w:p w14:paraId="36CADBE6" w14:textId="77777777" w:rsidR="003B2EA7" w:rsidRDefault="003B2EA7" w:rsidP="00D4566D"/>
    <w:p w14:paraId="1F62D0E3" w14:textId="42453DD8" w:rsidR="003B2EA7" w:rsidRDefault="003B2EA7" w:rsidP="00D4566D">
      <w:pPr>
        <w:rPr>
          <w:b/>
        </w:rPr>
      </w:pPr>
      <w:r w:rsidRPr="003F75EF">
        <w:rPr>
          <w:b/>
        </w:rPr>
        <w:t>I.   Background and Summary of the Proposal</w:t>
      </w:r>
    </w:p>
    <w:p w14:paraId="2CF44F23" w14:textId="77777777" w:rsidR="0026193D" w:rsidRDefault="0026193D" w:rsidP="00D4566D">
      <w:pPr>
        <w:rPr>
          <w:b/>
        </w:rPr>
      </w:pPr>
    </w:p>
    <w:p w14:paraId="338CADCF" w14:textId="77777777" w:rsidR="0026193D" w:rsidRPr="00027265" w:rsidRDefault="0026193D" w:rsidP="0026193D">
      <w:pPr>
        <w:pStyle w:val="Level1"/>
        <w:tabs>
          <w:tab w:val="left" w:pos="720"/>
        </w:tabs>
        <w:rPr>
          <w:b/>
          <w:bCs/>
          <w:szCs w:val="22"/>
        </w:rPr>
      </w:pPr>
      <w:r w:rsidRPr="00027265">
        <w:rPr>
          <w:b/>
          <w:bCs/>
          <w:szCs w:val="22"/>
        </w:rPr>
        <w:t xml:space="preserve">     A.  Issue</w:t>
      </w:r>
    </w:p>
    <w:p w14:paraId="36F4AB9A" w14:textId="77777777" w:rsidR="0026193D" w:rsidRDefault="0026193D" w:rsidP="0026193D">
      <w:pPr>
        <w:pStyle w:val="BodyText"/>
        <w:widowControl/>
        <w:rPr>
          <w:b/>
          <w:bCs/>
          <w:szCs w:val="22"/>
        </w:rPr>
      </w:pPr>
    </w:p>
    <w:p w14:paraId="6367FEC5" w14:textId="40151DD7" w:rsidR="0026193D" w:rsidRDefault="00A06112" w:rsidP="0026193D">
      <w:pPr>
        <w:pStyle w:val="BodyText"/>
        <w:widowControl/>
        <w:rPr>
          <w:szCs w:val="22"/>
        </w:rPr>
      </w:pPr>
      <w:r>
        <w:rPr>
          <w:bCs/>
          <w:szCs w:val="22"/>
        </w:rPr>
        <w:t>Inova Health Care Services</w:t>
      </w:r>
      <w:r w:rsidR="0026193D">
        <w:rPr>
          <w:bCs/>
          <w:szCs w:val="22"/>
        </w:rPr>
        <w:t xml:space="preserve"> </w:t>
      </w:r>
      <w:r w:rsidR="00F873C9">
        <w:rPr>
          <w:bCs/>
          <w:szCs w:val="22"/>
        </w:rPr>
        <w:t>(</w:t>
      </w:r>
      <w:r w:rsidR="00AB1EB6">
        <w:rPr>
          <w:bCs/>
          <w:szCs w:val="22"/>
        </w:rPr>
        <w:t>Inova</w:t>
      </w:r>
      <w:r w:rsidR="00926DC2">
        <w:rPr>
          <w:bCs/>
          <w:szCs w:val="22"/>
        </w:rPr>
        <w:t>)</w:t>
      </w:r>
      <w:r w:rsidR="00AB1EB6" w:rsidRPr="00B06520">
        <w:rPr>
          <w:bCs/>
          <w:szCs w:val="22"/>
        </w:rPr>
        <w:t xml:space="preserve"> see</w:t>
      </w:r>
      <w:r w:rsidR="00AB1EB6">
        <w:rPr>
          <w:bCs/>
          <w:szCs w:val="22"/>
        </w:rPr>
        <w:t>ks</w:t>
      </w:r>
      <w:r w:rsidR="0026193D" w:rsidRPr="00B06520">
        <w:rPr>
          <w:szCs w:val="22"/>
        </w:rPr>
        <w:t xml:space="preserve"> </w:t>
      </w:r>
      <w:r w:rsidR="006F3685" w:rsidRPr="00B06520">
        <w:rPr>
          <w:szCs w:val="22"/>
        </w:rPr>
        <w:t>a certificate</w:t>
      </w:r>
      <w:r w:rsidR="0026193D" w:rsidRPr="00B06520">
        <w:rPr>
          <w:szCs w:val="22"/>
        </w:rPr>
        <w:t xml:space="preserve"> of public need (COPN) to </w:t>
      </w:r>
      <w:r w:rsidR="00E5631A">
        <w:rPr>
          <w:szCs w:val="22"/>
        </w:rPr>
        <w:t>add 48 medical-surgical beds at Inova</w:t>
      </w:r>
      <w:r>
        <w:rPr>
          <w:szCs w:val="22"/>
        </w:rPr>
        <w:t xml:space="preserve"> Fairfax H</w:t>
      </w:r>
      <w:r w:rsidR="00F873C9">
        <w:rPr>
          <w:szCs w:val="22"/>
        </w:rPr>
        <w:t>ospital</w:t>
      </w:r>
      <w:r w:rsidR="00926DC2">
        <w:rPr>
          <w:szCs w:val="22"/>
        </w:rPr>
        <w:t xml:space="preserve"> (IFH</w:t>
      </w:r>
      <w:r w:rsidR="00257552">
        <w:rPr>
          <w:szCs w:val="22"/>
        </w:rPr>
        <w:t>)</w:t>
      </w:r>
      <w:r w:rsidR="00B8339B">
        <w:rPr>
          <w:szCs w:val="22"/>
        </w:rPr>
        <w:t xml:space="preserve">. </w:t>
      </w:r>
    </w:p>
    <w:p w14:paraId="5E04A176" w14:textId="77777777" w:rsidR="003B2EA7" w:rsidRDefault="003B2EA7" w:rsidP="00D4566D"/>
    <w:p w14:paraId="72B31716" w14:textId="320CFCAE" w:rsidR="005A4120" w:rsidRDefault="00D72C65" w:rsidP="005A4120">
      <w:pPr>
        <w:pStyle w:val="Heading1"/>
      </w:pPr>
      <w:r>
        <w:t xml:space="preserve">    B</w:t>
      </w:r>
      <w:r w:rsidR="00DB3AEB">
        <w:t xml:space="preserve">.  </w:t>
      </w:r>
      <w:r w:rsidR="007C3D05">
        <w:t>Inova Fairfax Hospital</w:t>
      </w:r>
    </w:p>
    <w:p w14:paraId="5B89A46C" w14:textId="77777777" w:rsidR="005A4120" w:rsidRDefault="005A4120" w:rsidP="005A4120"/>
    <w:p w14:paraId="0AD17B27" w14:textId="554EEA83" w:rsidR="00BF04ED" w:rsidRDefault="007C3D05" w:rsidP="00E44740">
      <w:r>
        <w:t>Inova Fairfax Hospital (IFH</w:t>
      </w:r>
      <w:r w:rsidR="00DB3AEB">
        <w:t>)</w:t>
      </w:r>
      <w:r w:rsidR="00AD77FA">
        <w:t xml:space="preserve"> is Northern Virginia’s largest community hospital and the region’s </w:t>
      </w:r>
      <w:r w:rsidR="0019312F">
        <w:t xml:space="preserve">medical </w:t>
      </w:r>
      <w:r w:rsidR="00AD77FA">
        <w:t>referral center.</w:t>
      </w:r>
      <w:r w:rsidR="00BF3F04">
        <w:t xml:space="preserve"> </w:t>
      </w:r>
      <w:r w:rsidR="00B5397F">
        <w:t xml:space="preserve">It is located near the center of the planning district </w:t>
      </w:r>
      <w:r w:rsidR="007F1422">
        <w:t>(Map</w:t>
      </w:r>
      <w:r w:rsidR="002D1A18">
        <w:t xml:space="preserve"> 1</w:t>
      </w:r>
      <w:r w:rsidR="007F1422">
        <w:t xml:space="preserve">) </w:t>
      </w:r>
      <w:r w:rsidR="00B5397F">
        <w:t>and has the largest primary service area in the region.</w:t>
      </w:r>
      <w:r w:rsidR="009E010B">
        <w:t xml:space="preserve"> It is licensed to operate 928 beds, 506 of which are used as adult general medical-</w:t>
      </w:r>
      <w:r w:rsidR="009E010B" w:rsidRPr="00CC05B9">
        <w:t>surgical beds</w:t>
      </w:r>
      <w:r w:rsidR="009E010B">
        <w:t>.</w:t>
      </w:r>
      <w:r w:rsidR="009E010B">
        <w:rPr>
          <w:rStyle w:val="FootnoteReference"/>
        </w:rPr>
        <w:footnoteReference w:id="1"/>
      </w:r>
    </w:p>
    <w:p w14:paraId="1AD8741E" w14:textId="77777777" w:rsidR="00BF04ED" w:rsidRDefault="00BF04ED" w:rsidP="00E44740"/>
    <w:p w14:paraId="7E946C44" w14:textId="3190DC36" w:rsidR="007C64A3" w:rsidRDefault="009E6D79" w:rsidP="000A4BC4">
      <w:pPr>
        <w:pStyle w:val="BodyText"/>
      </w:pPr>
      <w:r w:rsidRPr="001E0265">
        <w:t>Inova seeks authorization to add forty-eight (48)</w:t>
      </w:r>
      <w:r w:rsidR="005A4120" w:rsidRPr="001E0265">
        <w:t xml:space="preserve"> beds </w:t>
      </w:r>
      <w:r w:rsidRPr="001E0265">
        <w:t xml:space="preserve">at IFH. </w:t>
      </w:r>
      <w:r w:rsidR="00BF04ED" w:rsidRPr="001E0265">
        <w:t>T</w:t>
      </w:r>
      <w:r w:rsidR="00F2556C" w:rsidRPr="001E0265">
        <w:t>he</w:t>
      </w:r>
      <w:r w:rsidRPr="001E0265">
        <w:t xml:space="preserve"> beds added</w:t>
      </w:r>
      <w:r w:rsidR="00F2556C" w:rsidRPr="001E0265">
        <w:t xml:space="preserve"> would be used to serve </w:t>
      </w:r>
      <w:r w:rsidR="000A4BC4" w:rsidRPr="001E0265">
        <w:t xml:space="preserve">adult </w:t>
      </w:r>
      <w:r w:rsidR="00F2556C" w:rsidRPr="001E0265">
        <w:t>medical-</w:t>
      </w:r>
      <w:r w:rsidRPr="001E0265">
        <w:t>surgi</w:t>
      </w:r>
      <w:r w:rsidR="00F2556C" w:rsidRPr="001E0265">
        <w:t xml:space="preserve">cal patients. </w:t>
      </w:r>
      <w:r w:rsidR="000A4BC4" w:rsidRPr="001E0265">
        <w:t>T</w:t>
      </w:r>
      <w:r w:rsidRPr="001E0265">
        <w:t xml:space="preserve">he project would increase IFH’s total licensed bed complement to </w:t>
      </w:r>
      <w:r w:rsidR="00D033C7" w:rsidRPr="001E0265">
        <w:t>9</w:t>
      </w:r>
      <w:r w:rsidR="00E7133A" w:rsidRPr="001E0265">
        <w:t>76</w:t>
      </w:r>
      <w:r w:rsidRPr="001E0265">
        <w:t xml:space="preserve"> beds</w:t>
      </w:r>
      <w:r w:rsidR="00D033C7" w:rsidRPr="001E0265">
        <w:t>, 5</w:t>
      </w:r>
      <w:r w:rsidR="00912093" w:rsidRPr="001E0265">
        <w:t>54</w:t>
      </w:r>
      <w:r w:rsidR="00D033C7" w:rsidRPr="001E0265">
        <w:t xml:space="preserve"> of which would be for general medical-surgical use</w:t>
      </w:r>
      <w:r w:rsidR="001673C6" w:rsidRPr="001E0265">
        <w:t>.</w:t>
      </w:r>
      <w:r w:rsidR="00BF3DBF" w:rsidRPr="001E0265">
        <w:t xml:space="preserve">   </w:t>
      </w:r>
    </w:p>
    <w:p w14:paraId="1E5EAFF4" w14:textId="77777777" w:rsidR="00EC6CA8" w:rsidRPr="001E0265" w:rsidRDefault="00EC6CA8" w:rsidP="000A4BC4">
      <w:pPr>
        <w:pStyle w:val="BodyText"/>
      </w:pPr>
    </w:p>
    <w:p w14:paraId="1F0A797F" w14:textId="23F25B7C" w:rsidR="00DA69D4" w:rsidRDefault="00BF3DBF" w:rsidP="00DA69D4">
      <w:r w:rsidRPr="001E0265">
        <w:lastRenderedPageBreak/>
        <w:t>C</w:t>
      </w:r>
      <w:r w:rsidR="005A4120" w:rsidRPr="001E0265">
        <w:t>apital</w:t>
      </w:r>
      <w:r w:rsidR="001F057D" w:rsidRPr="001E0265">
        <w:t xml:space="preserve"> costs are projected </w:t>
      </w:r>
      <w:r w:rsidR="00DA69D4" w:rsidRPr="001E0265">
        <w:t>to total $</w:t>
      </w:r>
      <w:r w:rsidR="00E472AB" w:rsidRPr="001E0265">
        <w:t>32,944,386</w:t>
      </w:r>
      <w:r w:rsidR="005A4120" w:rsidRPr="001E0265">
        <w:t xml:space="preserve">, the majority of which </w:t>
      </w:r>
      <w:r w:rsidR="0045686D" w:rsidRPr="001E0265">
        <w:t>(</w:t>
      </w:r>
      <w:r w:rsidR="004165F7" w:rsidRPr="001E0265">
        <w:t>$17,142,896</w:t>
      </w:r>
      <w:r w:rsidR="0045686D" w:rsidRPr="001E0265">
        <w:t xml:space="preserve">) </w:t>
      </w:r>
      <w:r w:rsidR="005A4120" w:rsidRPr="001E0265">
        <w:t>would be</w:t>
      </w:r>
      <w:r w:rsidR="005A4120">
        <w:t xml:space="preserve"> construction </w:t>
      </w:r>
      <w:r w:rsidR="00CF33FA">
        <w:t>expense</w:t>
      </w:r>
      <w:r w:rsidR="005A4120">
        <w:t xml:space="preserve">. All capital </w:t>
      </w:r>
      <w:r w:rsidR="00CF33FA">
        <w:t>costs</w:t>
      </w:r>
      <w:r w:rsidR="005A4120">
        <w:t xml:space="preserve"> would be paid from </w:t>
      </w:r>
      <w:r w:rsidR="00940DC9">
        <w:t xml:space="preserve">internal </w:t>
      </w:r>
      <w:r w:rsidR="00DA69D4">
        <w:t>Inova</w:t>
      </w:r>
      <w:r w:rsidR="001F057D">
        <w:t xml:space="preserve"> </w:t>
      </w:r>
      <w:r w:rsidR="00940DC9">
        <w:t>funds</w:t>
      </w:r>
      <w:r w:rsidR="005A4120">
        <w:t xml:space="preserve">. </w:t>
      </w:r>
      <w:r w:rsidR="00393B92">
        <w:t xml:space="preserve">Current capacity and </w:t>
      </w:r>
      <w:r w:rsidR="00F96F76">
        <w:t>20</w:t>
      </w:r>
      <w:r w:rsidR="00E7133A">
        <w:t>23</w:t>
      </w:r>
      <w:r w:rsidR="00F96F76">
        <w:t xml:space="preserve"> inpatient use at IFH</w:t>
      </w:r>
      <w:r w:rsidR="00E7133A">
        <w:t xml:space="preserve">, and </w:t>
      </w:r>
      <w:r w:rsidR="00CF00B4">
        <w:t xml:space="preserve">at </w:t>
      </w:r>
      <w:r w:rsidR="00E7133A">
        <w:t>other local hospitals</w:t>
      </w:r>
      <w:r w:rsidR="00005456">
        <w:t>,</w:t>
      </w:r>
      <w:r w:rsidR="00F96F76">
        <w:t xml:space="preserve"> are</w:t>
      </w:r>
      <w:r w:rsidR="00DA69D4">
        <w:t xml:space="preserve"> shown in Table 1.</w:t>
      </w:r>
    </w:p>
    <w:p w14:paraId="6FE3BC4C" w14:textId="77777777" w:rsidR="005A4120" w:rsidRDefault="005A4120" w:rsidP="005A4120">
      <w:pPr>
        <w:pStyle w:val="BodyText"/>
      </w:pPr>
    </w:p>
    <w:p w14:paraId="0EBBB489" w14:textId="3B291A72" w:rsidR="005A4120" w:rsidRDefault="00DA69D4" w:rsidP="005A4120">
      <w:pPr>
        <w:pStyle w:val="BodyText"/>
      </w:pPr>
      <w:r>
        <w:t xml:space="preserve">Inova </w:t>
      </w:r>
      <w:r w:rsidR="005A4120">
        <w:t>justifies t</w:t>
      </w:r>
      <w:r>
        <w:t>he proposal on the grounds that</w:t>
      </w:r>
      <w:r w:rsidR="00E0374F">
        <w:t>:</w:t>
      </w:r>
    </w:p>
    <w:p w14:paraId="5209A83C" w14:textId="77777777" w:rsidR="005A4120" w:rsidRDefault="005A4120" w:rsidP="005A4120"/>
    <w:p w14:paraId="15F6BB39" w14:textId="1DC8F6BF" w:rsidR="00DA69D4" w:rsidRPr="00D3148B" w:rsidRDefault="00DA69D4" w:rsidP="0083319D">
      <w:pPr>
        <w:pStyle w:val="ListParagraph"/>
        <w:numPr>
          <w:ilvl w:val="0"/>
          <w:numId w:val="13"/>
        </w:numPr>
      </w:pPr>
      <w:r w:rsidRPr="00D3148B">
        <w:t xml:space="preserve">Inpatient </w:t>
      </w:r>
      <w:r w:rsidR="00F96F76" w:rsidRPr="00D3148B">
        <w:t xml:space="preserve">use </w:t>
      </w:r>
      <w:r w:rsidRPr="00D3148B">
        <w:t xml:space="preserve">at </w:t>
      </w:r>
      <w:r w:rsidR="009C50D0">
        <w:t xml:space="preserve">Inova Fairfax Hospital </w:t>
      </w:r>
      <w:r w:rsidRPr="00D3148B">
        <w:t>is high.</w:t>
      </w:r>
      <w:r w:rsidR="00C5598F">
        <w:t xml:space="preserve"> </w:t>
      </w:r>
      <w:proofErr w:type="gramStart"/>
      <w:r w:rsidR="008A78C8">
        <w:t>A</w:t>
      </w:r>
      <w:r w:rsidR="00C5598F">
        <w:t>nnual</w:t>
      </w:r>
      <w:proofErr w:type="gramEnd"/>
      <w:r w:rsidR="00C5598F">
        <w:t xml:space="preserve"> </w:t>
      </w:r>
      <w:r w:rsidRPr="00D3148B">
        <w:t xml:space="preserve">average </w:t>
      </w:r>
      <w:r w:rsidR="00C5598F">
        <w:t xml:space="preserve">occupancy of </w:t>
      </w:r>
      <w:r w:rsidR="00FB6B7F">
        <w:t>the hospital’s</w:t>
      </w:r>
      <w:r w:rsidR="00C5598F">
        <w:t xml:space="preserve"> medical-surgical </w:t>
      </w:r>
      <w:r w:rsidR="00FB6B7F">
        <w:t xml:space="preserve">beds </w:t>
      </w:r>
      <w:r w:rsidR="00C5598F">
        <w:t>is substantially</w:t>
      </w:r>
      <w:r w:rsidR="00005456">
        <w:t xml:space="preserve"> above </w:t>
      </w:r>
      <w:r w:rsidR="00F96F76" w:rsidRPr="00D3148B">
        <w:t xml:space="preserve">planning </w:t>
      </w:r>
      <w:r w:rsidR="00C5598F">
        <w:t xml:space="preserve">guidelines. </w:t>
      </w:r>
      <w:r w:rsidR="00E776F6">
        <w:t>Demand is increasing</w:t>
      </w:r>
      <w:r w:rsidR="009155BD">
        <w:t>.</w:t>
      </w:r>
      <w:r w:rsidR="001773ED">
        <w:t xml:space="preserve"> Essentially, IFH medical-surgical</w:t>
      </w:r>
      <w:r w:rsidR="004F6B69">
        <w:t xml:space="preserve"> beds are used to capacity.</w:t>
      </w:r>
    </w:p>
    <w:p w14:paraId="3579282A" w14:textId="4C978A41" w:rsidR="00DA69D4" w:rsidRDefault="00DA69D4" w:rsidP="00DA69D4">
      <w:pPr>
        <w:pStyle w:val="ListParagraph"/>
        <w:numPr>
          <w:ilvl w:val="0"/>
          <w:numId w:val="13"/>
        </w:numPr>
      </w:pPr>
      <w:r w:rsidRPr="00D3148B">
        <w:t>Additional beds are required</w:t>
      </w:r>
      <w:r>
        <w:t xml:space="preserve"> to meet </w:t>
      </w:r>
      <w:r w:rsidR="00DB4CAA">
        <w:t xml:space="preserve">current and </w:t>
      </w:r>
      <w:r w:rsidR="00F96F76">
        <w:t>projected</w:t>
      </w:r>
      <w:r>
        <w:t xml:space="preserve"> </w:t>
      </w:r>
      <w:r w:rsidR="00880F37">
        <w:t>near-term</w:t>
      </w:r>
      <w:r w:rsidR="00AB4D58">
        <w:t xml:space="preserve"> d</w:t>
      </w:r>
      <w:r>
        <w:t xml:space="preserve">emand. </w:t>
      </w:r>
    </w:p>
    <w:p w14:paraId="04069E6A" w14:textId="41AED07B" w:rsidR="00DA69D4" w:rsidRDefault="00156EC4" w:rsidP="00DA69D4">
      <w:pPr>
        <w:pStyle w:val="ListParagraph"/>
        <w:numPr>
          <w:ilvl w:val="0"/>
          <w:numId w:val="13"/>
        </w:numPr>
      </w:pPr>
      <w:r>
        <w:t xml:space="preserve">Adding </w:t>
      </w:r>
      <w:r w:rsidR="00DA69D4">
        <w:t>beds at IFH</w:t>
      </w:r>
      <w:r w:rsidR="00DA69D4" w:rsidRPr="00A31E0D">
        <w:t xml:space="preserve"> </w:t>
      </w:r>
      <w:r w:rsidR="00DA69D4">
        <w:t xml:space="preserve">to meet </w:t>
      </w:r>
      <w:r w:rsidR="00880F37">
        <w:t xml:space="preserve">an </w:t>
      </w:r>
      <w:r w:rsidR="00DA69D4">
        <w:t>internal (</w:t>
      </w:r>
      <w:r w:rsidR="00DA69D4" w:rsidRPr="00C5598F">
        <w:rPr>
          <w:i/>
          <w:iCs/>
        </w:rPr>
        <w:t>institution</w:t>
      </w:r>
      <w:r w:rsidR="00C5598F" w:rsidRPr="00C5598F">
        <w:rPr>
          <w:i/>
          <w:iCs/>
        </w:rPr>
        <w:t xml:space="preserve"> specific</w:t>
      </w:r>
      <w:r w:rsidR="00DA69D4">
        <w:t xml:space="preserve">) need for inpatient capacity should </w:t>
      </w:r>
      <w:r w:rsidR="00DA69D4" w:rsidRPr="00A31E0D">
        <w:t xml:space="preserve">not affect </w:t>
      </w:r>
      <w:r w:rsidR="00DA69D4">
        <w:t>operations at other hospitals.</w:t>
      </w:r>
      <w:r w:rsidR="00C5598F">
        <w:t xml:space="preserve"> </w:t>
      </w:r>
    </w:p>
    <w:p w14:paraId="0CF8031B" w14:textId="45480927" w:rsidR="00DA69D4" w:rsidRPr="001E0265" w:rsidRDefault="00DA69D4" w:rsidP="00DA69D4">
      <w:pPr>
        <w:pStyle w:val="ListParagraph"/>
        <w:numPr>
          <w:ilvl w:val="0"/>
          <w:numId w:val="13"/>
        </w:numPr>
        <w:rPr>
          <w:szCs w:val="22"/>
        </w:rPr>
      </w:pPr>
      <w:r>
        <w:t>Projected capital costs are reasonable for the</w:t>
      </w:r>
      <w:r w:rsidR="00156EC4">
        <w:t xml:space="preserve"> </w:t>
      </w:r>
      <w:r>
        <w:t xml:space="preserve">space </w:t>
      </w:r>
      <w:r w:rsidR="00156EC4">
        <w:t xml:space="preserve">to be </w:t>
      </w:r>
      <w:r w:rsidR="00C11FC6">
        <w:t>renovated</w:t>
      </w:r>
      <w:r w:rsidR="00F67A60">
        <w:t xml:space="preserve"> </w:t>
      </w:r>
      <w:r>
        <w:t xml:space="preserve">and </w:t>
      </w:r>
      <w:r w:rsidR="00F67A60">
        <w:t xml:space="preserve">the </w:t>
      </w:r>
      <w:r>
        <w:t xml:space="preserve">number of beds </w:t>
      </w:r>
      <w:r w:rsidR="00694A39">
        <w:t>to</w:t>
      </w:r>
      <w:r w:rsidR="00F67A60">
        <w:t xml:space="preserve"> </w:t>
      </w:r>
      <w:r w:rsidR="00F67A60" w:rsidRPr="001E0265">
        <w:t>be added</w:t>
      </w:r>
      <w:r w:rsidRPr="001E0265">
        <w:t>.</w:t>
      </w:r>
    </w:p>
    <w:p w14:paraId="219BD7EF" w14:textId="266E1F9B" w:rsidR="00DA69D4" w:rsidRPr="001E0265" w:rsidRDefault="00DA69D4" w:rsidP="00DA69D4">
      <w:pPr>
        <w:pStyle w:val="ListParagraph"/>
        <w:numPr>
          <w:ilvl w:val="0"/>
          <w:numId w:val="13"/>
        </w:numPr>
      </w:pPr>
      <w:r w:rsidRPr="001E0265">
        <w:t xml:space="preserve">The proposal is consistent with </w:t>
      </w:r>
      <w:r w:rsidR="00F72CB4" w:rsidRPr="001E0265">
        <w:t>the institutional need provision</w:t>
      </w:r>
      <w:r w:rsidR="00C809CB" w:rsidRPr="001E0265">
        <w:t xml:space="preserve"> (</w:t>
      </w:r>
      <w:r w:rsidR="00C11FC6" w:rsidRPr="001E0265">
        <w:t xml:space="preserve">Section </w:t>
      </w:r>
      <w:r w:rsidR="00BD5893" w:rsidRPr="001E0265">
        <w:rPr>
          <w:szCs w:val="22"/>
        </w:rPr>
        <w:t>12VAC5-230-80</w:t>
      </w:r>
      <w:r w:rsidR="001B76B3" w:rsidRPr="001E0265">
        <w:rPr>
          <w:szCs w:val="22"/>
        </w:rPr>
        <w:t>)</w:t>
      </w:r>
      <w:r w:rsidR="00B64F4B" w:rsidRPr="001E0265">
        <w:t xml:space="preserve"> </w:t>
      </w:r>
      <w:r w:rsidRPr="001E0265">
        <w:t>of the Virginia State Medical Facilities Plan (SMFP)</w:t>
      </w:r>
      <w:r w:rsidR="00255C20" w:rsidRPr="001E0265">
        <w:t xml:space="preserve">. </w:t>
      </w:r>
    </w:p>
    <w:p w14:paraId="72B7BD58" w14:textId="77777777" w:rsidR="005A4120" w:rsidRDefault="005A4120" w:rsidP="005A4120"/>
    <w:p w14:paraId="0DE7CACA" w14:textId="5718F87B" w:rsidR="005A4120" w:rsidRDefault="00CF33FA" w:rsidP="005A4120">
      <w:r>
        <w:t>I</w:t>
      </w:r>
      <w:r w:rsidR="005A4120">
        <w:t xml:space="preserve">f authorized, the project would be </w:t>
      </w:r>
      <w:r w:rsidR="005253F8">
        <w:t>completed</w:t>
      </w:r>
      <w:r w:rsidR="005A4120">
        <w:t xml:space="preserve"> </w:t>
      </w:r>
      <w:r w:rsidR="00691DAB">
        <w:t xml:space="preserve">in </w:t>
      </w:r>
      <w:r w:rsidR="0088313E">
        <w:t xml:space="preserve">late </w:t>
      </w:r>
      <w:r w:rsidR="00691DAB">
        <w:t>20</w:t>
      </w:r>
      <w:r w:rsidR="00880F37">
        <w:t>26</w:t>
      </w:r>
      <w:r w:rsidR="008C25CC">
        <w:t xml:space="preserve">. </w:t>
      </w:r>
    </w:p>
    <w:p w14:paraId="0529201E" w14:textId="77777777" w:rsidR="00CA75C9" w:rsidRDefault="00CA75C9" w:rsidP="005A4120"/>
    <w:p w14:paraId="4A1D629D" w14:textId="5B396E63" w:rsidR="00CA75C9" w:rsidRDefault="002D1A18" w:rsidP="005A4120">
      <w:r w:rsidRPr="002D1A18">
        <w:rPr>
          <w:noProof/>
        </w:rPr>
        <w:drawing>
          <wp:inline distT="0" distB="0" distL="0" distR="0" wp14:anchorId="0D807E27" wp14:editId="7EA23123">
            <wp:extent cx="5634990" cy="3162935"/>
            <wp:effectExtent l="0" t="0" r="3810" b="0"/>
            <wp:docPr id="5822892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4990" cy="3162935"/>
                    </a:xfrm>
                    <a:prstGeom prst="rect">
                      <a:avLst/>
                    </a:prstGeom>
                    <a:noFill/>
                    <a:ln>
                      <a:noFill/>
                    </a:ln>
                  </pic:spPr>
                </pic:pic>
              </a:graphicData>
            </a:graphic>
          </wp:inline>
        </w:drawing>
      </w:r>
    </w:p>
    <w:p w14:paraId="105B5791" w14:textId="77777777" w:rsidR="005A4120" w:rsidRDefault="005A4120" w:rsidP="00D4566D"/>
    <w:p w14:paraId="14971C5A" w14:textId="77777777" w:rsidR="00F0244E" w:rsidRDefault="00F0244E" w:rsidP="00D4566D"/>
    <w:p w14:paraId="73DCE31A" w14:textId="77777777" w:rsidR="00F0244E" w:rsidRDefault="00F0244E" w:rsidP="00D4566D"/>
    <w:p w14:paraId="5C37D372" w14:textId="77777777" w:rsidR="00F0244E" w:rsidRDefault="00F0244E" w:rsidP="00D4566D"/>
    <w:p w14:paraId="7422B53A" w14:textId="77777777" w:rsidR="00F0244E" w:rsidRDefault="00F0244E" w:rsidP="00D4566D"/>
    <w:p w14:paraId="176DB18B" w14:textId="77777777" w:rsidR="00F0244E" w:rsidRDefault="00F0244E" w:rsidP="00D4566D"/>
    <w:p w14:paraId="1B3B0149" w14:textId="77777777" w:rsidR="003B2EA7" w:rsidRPr="003F75EF" w:rsidRDefault="003B2EA7" w:rsidP="00D4566D">
      <w:pPr>
        <w:rPr>
          <w:b/>
        </w:rPr>
      </w:pPr>
      <w:r w:rsidRPr="003F75EF">
        <w:rPr>
          <w:b/>
        </w:rPr>
        <w:lastRenderedPageBreak/>
        <w:t>II.   Discussion</w:t>
      </w:r>
    </w:p>
    <w:p w14:paraId="41AD1C6B" w14:textId="77777777" w:rsidR="003B2EA7" w:rsidRDefault="003B2EA7" w:rsidP="00D4566D"/>
    <w:p w14:paraId="292818FA" w14:textId="4FF72994" w:rsidR="00071570" w:rsidRPr="00447554" w:rsidRDefault="003B2EA7" w:rsidP="00071570">
      <w:pPr>
        <w:rPr>
          <w:b/>
        </w:rPr>
      </w:pPr>
      <w:r>
        <w:t xml:space="preserve">     </w:t>
      </w:r>
      <w:r w:rsidRPr="003F75EF">
        <w:rPr>
          <w:b/>
        </w:rPr>
        <w:t xml:space="preserve">A.  </w:t>
      </w:r>
      <w:r w:rsidR="0094793D">
        <w:rPr>
          <w:b/>
        </w:rPr>
        <w:t>Context</w:t>
      </w:r>
      <w:r w:rsidR="00432726">
        <w:rPr>
          <w:b/>
        </w:rPr>
        <w:t xml:space="preserve">: </w:t>
      </w:r>
      <w:r w:rsidR="00071570">
        <w:rPr>
          <w:b/>
        </w:rPr>
        <w:t>Northern Virginia</w:t>
      </w:r>
      <w:r w:rsidR="0075212B">
        <w:rPr>
          <w:b/>
        </w:rPr>
        <w:t xml:space="preserve"> Hospital</w:t>
      </w:r>
      <w:r w:rsidR="00071570">
        <w:rPr>
          <w:b/>
        </w:rPr>
        <w:t xml:space="preserve"> </w:t>
      </w:r>
      <w:r w:rsidR="00071570" w:rsidRPr="00447554">
        <w:rPr>
          <w:b/>
        </w:rPr>
        <w:t>Capacity</w:t>
      </w:r>
      <w:r w:rsidR="00071570">
        <w:rPr>
          <w:b/>
        </w:rPr>
        <w:t>,</w:t>
      </w:r>
      <w:r w:rsidR="00071570" w:rsidRPr="00447554">
        <w:rPr>
          <w:b/>
        </w:rPr>
        <w:t xml:space="preserve"> Use</w:t>
      </w:r>
      <w:r w:rsidR="00071570">
        <w:rPr>
          <w:b/>
        </w:rPr>
        <w:t>, Trends</w:t>
      </w:r>
    </w:p>
    <w:p w14:paraId="0252FC13" w14:textId="77777777" w:rsidR="003B2EA7" w:rsidRDefault="003B2EA7" w:rsidP="00D4566D"/>
    <w:p w14:paraId="25C6E3D7" w14:textId="3BFE7B07" w:rsidR="00D6618A" w:rsidRDefault="00947839" w:rsidP="00D4566D">
      <w:r w:rsidRPr="001E0265">
        <w:t xml:space="preserve">Northern Virginia has </w:t>
      </w:r>
      <w:r w:rsidR="0075212B" w:rsidRPr="001E0265">
        <w:t>eleven</w:t>
      </w:r>
      <w:r w:rsidR="00CF33FA" w:rsidRPr="001E0265">
        <w:t xml:space="preserve"> acute care community hospitals</w:t>
      </w:r>
      <w:r w:rsidR="0075212B" w:rsidRPr="001E0265">
        <w:t>.</w:t>
      </w:r>
      <w:r w:rsidR="0075212B" w:rsidRPr="001E0265">
        <w:rPr>
          <w:rStyle w:val="FootnoteReference"/>
        </w:rPr>
        <w:footnoteReference w:id="2"/>
      </w:r>
      <w:r w:rsidR="0075212B" w:rsidRPr="001E0265">
        <w:t xml:space="preserve"> These hospitals are authorized to operate</w:t>
      </w:r>
      <w:r w:rsidR="001B29E7" w:rsidRPr="001E0265">
        <w:t xml:space="preserve"> </w:t>
      </w:r>
      <w:r w:rsidR="00AB2D9B" w:rsidRPr="001E0265">
        <w:t>3,033</w:t>
      </w:r>
      <w:r w:rsidR="00384871" w:rsidRPr="001E0265">
        <w:t xml:space="preserve"> </w:t>
      </w:r>
      <w:r w:rsidR="0075212B" w:rsidRPr="001E0265">
        <w:t xml:space="preserve">beds. </w:t>
      </w:r>
      <w:r w:rsidR="001B29E7" w:rsidRPr="001E0265">
        <w:t xml:space="preserve">Table 1 summarizes operating capacity and </w:t>
      </w:r>
      <w:r w:rsidR="00601269" w:rsidRPr="001E0265">
        <w:t>inpatient service volumes</w:t>
      </w:r>
      <w:r w:rsidR="001B29E7" w:rsidRPr="001E0265">
        <w:t xml:space="preserve"> </w:t>
      </w:r>
      <w:r w:rsidR="003E4664" w:rsidRPr="001E0265">
        <w:t>in 20</w:t>
      </w:r>
      <w:r w:rsidR="004165F7" w:rsidRPr="001E0265">
        <w:t>23</w:t>
      </w:r>
      <w:r w:rsidR="003E4664" w:rsidRPr="001E0265">
        <w:t>, the most recent y</w:t>
      </w:r>
      <w:r w:rsidR="00D6618A" w:rsidRPr="001E0265">
        <w:t>ear for which comparable</w:t>
      </w:r>
      <w:r w:rsidR="006970D5" w:rsidRPr="001E0265">
        <w:t xml:space="preserve"> vetted</w:t>
      </w:r>
      <w:r w:rsidR="00BF3DBF" w:rsidRPr="001E0265">
        <w:t xml:space="preserve"> </w:t>
      </w:r>
      <w:r w:rsidR="001E0372">
        <w:t xml:space="preserve">service </w:t>
      </w:r>
      <w:r w:rsidR="00167760">
        <w:t xml:space="preserve">volumes </w:t>
      </w:r>
      <w:r w:rsidR="00167760" w:rsidRPr="001E0265">
        <w:t>are</w:t>
      </w:r>
      <w:r w:rsidR="003E4664" w:rsidRPr="001E0265">
        <w:t xml:space="preserve"> available</w:t>
      </w:r>
      <w:r w:rsidR="003C68D9" w:rsidRPr="001E0265">
        <w:t>.</w:t>
      </w:r>
      <w:r w:rsidR="00706907" w:rsidRPr="001E0265">
        <w:t xml:space="preserve"> </w:t>
      </w:r>
      <w:r w:rsidR="000307DC" w:rsidRPr="001E0265">
        <w:t>The average</w:t>
      </w:r>
      <w:r w:rsidR="0040245F" w:rsidRPr="001E0265">
        <w:t xml:space="preserve"> </w:t>
      </w:r>
      <w:r w:rsidR="003C0736">
        <w:t xml:space="preserve">regional </w:t>
      </w:r>
      <w:r w:rsidR="0040245F" w:rsidRPr="001E0265">
        <w:t xml:space="preserve">occupancy of licensed </w:t>
      </w:r>
      <w:r w:rsidR="00AB19ED" w:rsidRPr="001E0265">
        <w:t>beds</w:t>
      </w:r>
      <w:r w:rsidR="0040245F" w:rsidRPr="001E0265">
        <w:t xml:space="preserve"> was about </w:t>
      </w:r>
      <w:r w:rsidR="00C87376" w:rsidRPr="001E0265">
        <w:t>75%</w:t>
      </w:r>
      <w:r w:rsidR="007623B1" w:rsidRPr="001E0265">
        <w:t xml:space="preserve"> </w:t>
      </w:r>
      <w:r w:rsidR="00AB19ED" w:rsidRPr="001E0265">
        <w:t>in 20</w:t>
      </w:r>
      <w:r w:rsidR="003515FC" w:rsidRPr="001E0265">
        <w:t>23</w:t>
      </w:r>
      <w:r w:rsidR="001E0265" w:rsidRPr="001E0265">
        <w:t xml:space="preserve">. </w:t>
      </w:r>
      <w:r w:rsidR="00E23BC4" w:rsidRPr="001E0265">
        <w:t xml:space="preserve">This </w:t>
      </w:r>
      <w:r w:rsidR="00C87376" w:rsidRPr="001E0265">
        <w:t>is</w:t>
      </w:r>
      <w:r w:rsidR="00D63827" w:rsidRPr="001E0265">
        <w:t xml:space="preserve"> about </w:t>
      </w:r>
      <w:r w:rsidR="005B7169" w:rsidRPr="001E0265">
        <w:t xml:space="preserve">6% </w:t>
      </w:r>
      <w:r w:rsidR="00C87376" w:rsidRPr="001E0265">
        <w:t xml:space="preserve">below </w:t>
      </w:r>
      <w:r w:rsidR="003A3F5C" w:rsidRPr="001E0265">
        <w:t>the service</w:t>
      </w:r>
      <w:r w:rsidR="00B415F9" w:rsidRPr="001E0265">
        <w:t xml:space="preserve"> </w:t>
      </w:r>
      <w:r w:rsidR="00B45349" w:rsidRPr="001E0265">
        <w:t xml:space="preserve">volume planning standard of </w:t>
      </w:r>
      <w:r w:rsidR="00674C51" w:rsidRPr="001E0265">
        <w:t>80%.</w:t>
      </w:r>
      <w:r w:rsidR="00674C51">
        <w:t xml:space="preserve"> </w:t>
      </w:r>
    </w:p>
    <w:p w14:paraId="5A1F81FA" w14:textId="77777777" w:rsidR="00A340AB" w:rsidRDefault="00A340AB" w:rsidP="00D4566D"/>
    <w:p w14:paraId="4084D578" w14:textId="60770082" w:rsidR="0003315B" w:rsidRPr="0003315B" w:rsidRDefault="00F72CB4" w:rsidP="00D4566D">
      <w:r w:rsidRPr="00F72CB4">
        <w:rPr>
          <w:noProof/>
        </w:rPr>
        <w:drawing>
          <wp:inline distT="0" distB="0" distL="0" distR="0" wp14:anchorId="1BAAB72D" wp14:editId="026EC206">
            <wp:extent cx="5634990" cy="3577590"/>
            <wp:effectExtent l="0" t="0" r="3810" b="0"/>
            <wp:docPr id="5862726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4990" cy="3577590"/>
                    </a:xfrm>
                    <a:prstGeom prst="rect">
                      <a:avLst/>
                    </a:prstGeom>
                    <a:noFill/>
                    <a:ln>
                      <a:noFill/>
                    </a:ln>
                  </pic:spPr>
                </pic:pic>
              </a:graphicData>
            </a:graphic>
          </wp:inline>
        </w:drawing>
      </w:r>
    </w:p>
    <w:p w14:paraId="256153FC" w14:textId="77777777" w:rsidR="00BA6325" w:rsidRDefault="00BA6325" w:rsidP="00B86775"/>
    <w:p w14:paraId="1CF18482" w14:textId="77777777" w:rsidR="00BA6325" w:rsidRDefault="00BA6325" w:rsidP="00B86775"/>
    <w:p w14:paraId="405F6976" w14:textId="77777777" w:rsidR="00BA6325" w:rsidRDefault="00BA6325" w:rsidP="00B86775"/>
    <w:p w14:paraId="4DCCE239" w14:textId="287E3BB0" w:rsidR="00BA6325" w:rsidRDefault="00BA6325" w:rsidP="00B86775">
      <w:r>
        <w:lastRenderedPageBreak/>
        <w:t xml:space="preserve">Hospital service volumes vary widely. In 2023, only two facilities reported occupancy levels of 80% or higher: Inova Fairfax Hospital (85.4%) and Inova Loudoun Hospital (81.6.%). No other acute care community hospital had a service volume that approached the </w:t>
      </w:r>
      <w:r w:rsidRPr="00A340AB">
        <w:rPr>
          <w:i/>
        </w:rPr>
        <w:t xml:space="preserve">minimum </w:t>
      </w:r>
      <w:r>
        <w:t>recommended occupancy level of 80% specified in the Virginia State Medical Facilities Plan (Table 1). Excluding Inova Fairfax and Inova Loudoun, the reported average occupancy of the acute care community hospitals was about 62% in 2023, nearly 23% below the planning standard.</w:t>
      </w:r>
    </w:p>
    <w:p w14:paraId="140C62D4" w14:textId="77777777" w:rsidR="00BA6325" w:rsidRDefault="00BA6325" w:rsidP="00B86775"/>
    <w:p w14:paraId="1F4BCEB5" w14:textId="79C24F92" w:rsidR="007126B4" w:rsidRPr="00F50B4D" w:rsidRDefault="00B86775" w:rsidP="00B86775">
      <w:r w:rsidRPr="00F50B4D">
        <w:t xml:space="preserve">Market conditions and the relatively </w:t>
      </w:r>
      <w:r w:rsidR="00056152" w:rsidRPr="00F50B4D">
        <w:t>low regional occupancy rate</w:t>
      </w:r>
      <w:r w:rsidRPr="00F50B4D">
        <w:t xml:space="preserve"> </w:t>
      </w:r>
      <w:r w:rsidR="00CA7B10" w:rsidRPr="00F50B4D">
        <w:t xml:space="preserve">reported </w:t>
      </w:r>
      <w:r w:rsidR="00EC54D9" w:rsidRPr="00F50B4D">
        <w:t>i</w:t>
      </w:r>
      <w:r w:rsidR="003C68D9" w:rsidRPr="00F50B4D">
        <w:t>n 20</w:t>
      </w:r>
      <w:r w:rsidR="009852A7" w:rsidRPr="00F50B4D">
        <w:t>23</w:t>
      </w:r>
      <w:r w:rsidR="003C68D9" w:rsidRPr="00F50B4D">
        <w:t xml:space="preserve"> </w:t>
      </w:r>
      <w:r w:rsidR="00481610" w:rsidRPr="00F50B4D">
        <w:t>are not</w:t>
      </w:r>
      <w:r w:rsidR="00EC54D9" w:rsidRPr="00F50B4D">
        <w:t xml:space="preserve"> </w:t>
      </w:r>
      <w:r w:rsidRPr="00F50B4D">
        <w:t xml:space="preserve">anomalous. Service volumes (discharges, patient days) </w:t>
      </w:r>
      <w:r w:rsidR="00372912" w:rsidRPr="00F50B4D">
        <w:t>vary considerably from year to year</w:t>
      </w:r>
      <w:r w:rsidRPr="00F50B4D">
        <w:t xml:space="preserve">, </w:t>
      </w:r>
      <w:r w:rsidR="004023B8" w:rsidRPr="00F50B4D">
        <w:t xml:space="preserve">but </w:t>
      </w:r>
      <w:r w:rsidR="00EC20E1" w:rsidRPr="00F50B4D">
        <w:t xml:space="preserve">hospital </w:t>
      </w:r>
      <w:r w:rsidR="00EC20E1" w:rsidRPr="00F50B4D">
        <w:rPr>
          <w:i/>
          <w:iCs/>
          <w:u w:val="single"/>
        </w:rPr>
        <w:t>use rates</w:t>
      </w:r>
      <w:r w:rsidR="00EC20E1" w:rsidRPr="00F50B4D">
        <w:t xml:space="preserve"> among </w:t>
      </w:r>
      <w:r w:rsidR="00AE098D">
        <w:t>residents of n</w:t>
      </w:r>
      <w:r w:rsidR="00EC20E1" w:rsidRPr="00F50B4D">
        <w:t xml:space="preserve">orthern Virginia </w:t>
      </w:r>
      <w:r w:rsidR="007A7C83" w:rsidRPr="00F50B4D">
        <w:t>have been decreasing for decades</w:t>
      </w:r>
      <w:r w:rsidR="000477DF" w:rsidRPr="00F50B4D">
        <w:t xml:space="preserve">. </w:t>
      </w:r>
      <w:r w:rsidR="007126B4" w:rsidRPr="00F50B4D">
        <w:t>For example</w:t>
      </w:r>
      <w:r w:rsidR="001A1205">
        <w:t>:</w:t>
      </w:r>
      <w:r w:rsidR="00BD6C33" w:rsidRPr="00F50B4D">
        <w:t xml:space="preserve"> </w:t>
      </w:r>
    </w:p>
    <w:p w14:paraId="59483352" w14:textId="77777777" w:rsidR="00BD6C33" w:rsidRDefault="00BD6C33" w:rsidP="00B86775">
      <w:pPr>
        <w:rPr>
          <w:highlight w:val="yellow"/>
        </w:rPr>
      </w:pPr>
    </w:p>
    <w:p w14:paraId="104FF691" w14:textId="77777777" w:rsidR="00C076A9" w:rsidRDefault="00BD6C33" w:rsidP="007C4113">
      <w:pPr>
        <w:pStyle w:val="ListParagraph"/>
        <w:numPr>
          <w:ilvl w:val="0"/>
          <w:numId w:val="24"/>
        </w:numPr>
      </w:pPr>
      <w:r w:rsidRPr="003A16E5">
        <w:t xml:space="preserve">Northern Virginia’s population </w:t>
      </w:r>
      <w:r w:rsidRPr="00C076A9">
        <w:rPr>
          <w:i/>
          <w:u w:val="single"/>
        </w:rPr>
        <w:t>increased</w:t>
      </w:r>
      <w:r w:rsidRPr="003A16E5">
        <w:t xml:space="preserve"> by about 131% between 1980 and 2023, growing from 1,105,714 in 1980 to 2,556,143 in 2023. The compound annual growth rate (CAGR) was 1.97%. </w:t>
      </w:r>
    </w:p>
    <w:p w14:paraId="20512DE4" w14:textId="23DA5B52" w:rsidR="00BD6C33" w:rsidRPr="003A16E5" w:rsidRDefault="00BD6C33" w:rsidP="007C4113">
      <w:pPr>
        <w:pStyle w:val="ListParagraph"/>
        <w:numPr>
          <w:ilvl w:val="0"/>
          <w:numId w:val="24"/>
        </w:numPr>
      </w:pPr>
      <w:r w:rsidRPr="003A16E5">
        <w:t xml:space="preserve">The regional hospital inpatient day use rate </w:t>
      </w:r>
      <w:r w:rsidRPr="00C076A9">
        <w:rPr>
          <w:i/>
          <w:u w:val="single"/>
        </w:rPr>
        <w:t xml:space="preserve">decreased </w:t>
      </w:r>
      <w:r w:rsidRPr="003A16E5">
        <w:t xml:space="preserve">by about 57% over this period of rapid population growth, dropping from 798 hospital days per 1,000 </w:t>
      </w:r>
      <w:r w:rsidR="007D7FE7" w:rsidRPr="003A16E5">
        <w:t>pop</w:t>
      </w:r>
      <w:r w:rsidR="007D7FE7">
        <w:t>ulation</w:t>
      </w:r>
      <w:r w:rsidRPr="003A16E5">
        <w:t xml:space="preserve"> in 1980 to 340 days per 1,000 in 2023.</w:t>
      </w:r>
      <w:r w:rsidRPr="003A16E5">
        <w:rPr>
          <w:rStyle w:val="FootnoteReference"/>
        </w:rPr>
        <w:footnoteReference w:id="3"/>
      </w:r>
      <w:r w:rsidRPr="003A16E5">
        <w:t xml:space="preserve"> The inpatient day CAGR</w:t>
      </w:r>
      <w:r w:rsidR="003A16E5" w:rsidRPr="003A16E5">
        <w:t xml:space="preserve"> </w:t>
      </w:r>
      <w:r w:rsidRPr="003A16E5">
        <w:t xml:space="preserve">was </w:t>
      </w:r>
      <w:r w:rsidR="00CD0ABE" w:rsidRPr="003A16E5">
        <w:t>negative</w:t>
      </w:r>
      <w:r w:rsidR="00F161FE" w:rsidRPr="003A16E5">
        <w:t xml:space="preserve"> (</w:t>
      </w:r>
      <w:r w:rsidRPr="003A16E5">
        <w:t>-2.01%</w:t>
      </w:r>
      <w:r w:rsidR="003A16E5" w:rsidRPr="003A16E5">
        <w:t>)</w:t>
      </w:r>
      <w:r w:rsidRPr="003A16E5">
        <w:t xml:space="preserve"> </w:t>
      </w:r>
      <w:r w:rsidR="0083043D">
        <w:t>over this period.</w:t>
      </w:r>
    </w:p>
    <w:p w14:paraId="17C5E739" w14:textId="77777777" w:rsidR="000D5C1B" w:rsidRDefault="000D5C1B" w:rsidP="00B86775">
      <w:pPr>
        <w:rPr>
          <w:highlight w:val="yellow"/>
        </w:rPr>
      </w:pPr>
    </w:p>
    <w:p w14:paraId="7C26F0CA" w14:textId="660D5216" w:rsidR="00152DE2" w:rsidRDefault="000477DF" w:rsidP="00B86775">
      <w:r w:rsidRPr="00C076A9">
        <w:t xml:space="preserve">With </w:t>
      </w:r>
      <w:r w:rsidR="00ED00AE" w:rsidRPr="00C076A9">
        <w:t xml:space="preserve">sharply decreasing </w:t>
      </w:r>
      <w:r w:rsidR="00A52B6E" w:rsidRPr="00C076A9">
        <w:t>use rates, a</w:t>
      </w:r>
      <w:r w:rsidR="003C262E" w:rsidRPr="00C076A9">
        <w:t>g</w:t>
      </w:r>
      <w:r w:rsidR="00EC54D9" w:rsidRPr="00C076A9">
        <w:t xml:space="preserve">gregate regional use (expressed demand) </w:t>
      </w:r>
      <w:r w:rsidR="00B86775" w:rsidRPr="00C076A9">
        <w:t xml:space="preserve">has </w:t>
      </w:r>
      <w:r w:rsidR="00D44C60" w:rsidRPr="00C076A9">
        <w:t>incre</w:t>
      </w:r>
      <w:r w:rsidR="00F32A75" w:rsidRPr="00C076A9">
        <w:t xml:space="preserve">ased modestly, </w:t>
      </w:r>
      <w:r w:rsidR="00B86EA2" w:rsidRPr="00C076A9">
        <w:t>much slower than the</w:t>
      </w:r>
      <w:r w:rsidR="00152DE2" w:rsidRPr="00C076A9">
        <w:t xml:space="preserve"> population growth rate</w:t>
      </w:r>
      <w:r w:rsidR="003A5A07" w:rsidRPr="00C076A9">
        <w:t>.</w:t>
      </w:r>
      <w:r w:rsidR="005D0873" w:rsidRPr="00C076A9">
        <w:t xml:space="preserve"> </w:t>
      </w:r>
      <w:r w:rsidR="003C262E" w:rsidRPr="00C076A9">
        <w:t>M</w:t>
      </w:r>
      <w:r w:rsidR="00163C11" w:rsidRPr="00C076A9">
        <w:t xml:space="preserve">ost </w:t>
      </w:r>
      <w:r w:rsidR="00781C0E" w:rsidRPr="00C076A9">
        <w:t>o</w:t>
      </w:r>
      <w:r w:rsidR="00163C11" w:rsidRPr="00C076A9">
        <w:t>f the net increase i</w:t>
      </w:r>
      <w:r w:rsidR="00BB4777" w:rsidRPr="00C076A9">
        <w:t>n a</w:t>
      </w:r>
      <w:r w:rsidR="00781C0E" w:rsidRPr="00C076A9">
        <w:t>gg</w:t>
      </w:r>
      <w:r w:rsidR="00163C11" w:rsidRPr="00C076A9">
        <w:t xml:space="preserve">regate </w:t>
      </w:r>
      <w:r w:rsidR="00A64E27" w:rsidRPr="00C076A9">
        <w:t>inpa</w:t>
      </w:r>
      <w:r w:rsidR="00972A1B" w:rsidRPr="00C076A9">
        <w:t xml:space="preserve">tient service volumes </w:t>
      </w:r>
      <w:r w:rsidR="00C72810" w:rsidRPr="00C076A9">
        <w:t>is attributable to</w:t>
      </w:r>
      <w:r w:rsidR="00880DCA" w:rsidRPr="00C076A9">
        <w:t xml:space="preserve"> </w:t>
      </w:r>
      <w:r w:rsidR="0023002C" w:rsidRPr="00C076A9">
        <w:t>increasing</w:t>
      </w:r>
      <w:r w:rsidR="00880DCA" w:rsidRPr="00C076A9">
        <w:t xml:space="preserve"> migration to the region</w:t>
      </w:r>
      <w:r w:rsidR="002F2477" w:rsidRPr="00C076A9">
        <w:t>’s hospital</w:t>
      </w:r>
      <w:r w:rsidR="00FF518D">
        <w:t xml:space="preserve"> for inpatient </w:t>
      </w:r>
      <w:proofErr w:type="gramStart"/>
      <w:r w:rsidR="00FF518D">
        <w:t>care</w:t>
      </w:r>
      <w:r w:rsidR="002F2477" w:rsidRPr="00C076A9">
        <w:t>s</w:t>
      </w:r>
      <w:proofErr w:type="gramEnd"/>
      <w:r w:rsidR="00972A1B" w:rsidRPr="00C076A9">
        <w:t xml:space="preserve">, not to </w:t>
      </w:r>
      <w:r w:rsidR="00E36502" w:rsidRPr="00C076A9">
        <w:t xml:space="preserve">regional population growth and </w:t>
      </w:r>
      <w:r w:rsidR="00536B61" w:rsidRPr="00C076A9">
        <w:t>aging.</w:t>
      </w:r>
    </w:p>
    <w:p w14:paraId="6BB50EB7" w14:textId="77777777" w:rsidR="00FF518D" w:rsidRPr="00C076A9" w:rsidRDefault="00FF518D" w:rsidP="00B86775"/>
    <w:p w14:paraId="47CE996C" w14:textId="47B15E76" w:rsidR="001D2FDB" w:rsidRDefault="00C92660" w:rsidP="00796814">
      <w:r w:rsidRPr="00C076A9">
        <w:t>The</w:t>
      </w:r>
      <w:r w:rsidR="006A476A" w:rsidRPr="00C076A9">
        <w:t xml:space="preserve"> extraordinary </w:t>
      </w:r>
      <w:r w:rsidR="005322AC" w:rsidRPr="00C076A9">
        <w:t>decrease</w:t>
      </w:r>
      <w:r w:rsidR="006A476A" w:rsidRPr="00C076A9">
        <w:t xml:space="preserve"> </w:t>
      </w:r>
      <w:r w:rsidR="00CA23CA" w:rsidRPr="00C076A9">
        <w:t xml:space="preserve">in use rates </w:t>
      </w:r>
      <w:r w:rsidR="006A476A" w:rsidRPr="00C076A9">
        <w:t xml:space="preserve">between 1980 </w:t>
      </w:r>
      <w:r w:rsidR="00F532CB" w:rsidRPr="00C076A9">
        <w:t xml:space="preserve">and 2000 has </w:t>
      </w:r>
      <w:r w:rsidR="00550283" w:rsidRPr="00C076A9">
        <w:t>attenuated</w:t>
      </w:r>
      <w:r w:rsidR="00CC5472" w:rsidRPr="00C076A9">
        <w:t xml:space="preserve"> over the last </w:t>
      </w:r>
      <w:r w:rsidR="00382344" w:rsidRPr="00C076A9">
        <w:t xml:space="preserve">two decades but remains strong. </w:t>
      </w:r>
      <w:r w:rsidR="00CA23CA" w:rsidRPr="00C076A9">
        <w:t>Population changes and inpatient demand over</w:t>
      </w:r>
      <w:r w:rsidR="00EC54D9" w:rsidRPr="00C076A9">
        <w:t xml:space="preserve"> </w:t>
      </w:r>
      <w:r w:rsidR="00392E9B" w:rsidRPr="00C076A9">
        <w:t xml:space="preserve">the last </w:t>
      </w:r>
      <w:r w:rsidR="00891FF7" w:rsidRPr="00C076A9">
        <w:t>two</w:t>
      </w:r>
      <w:r w:rsidR="00392E9B" w:rsidRPr="00C076A9">
        <w:t xml:space="preserve"> de</w:t>
      </w:r>
      <w:r w:rsidR="00EC54D9" w:rsidRPr="00C076A9">
        <w:t xml:space="preserve">cades </w:t>
      </w:r>
      <w:r w:rsidR="00D3148B" w:rsidRPr="00C076A9">
        <w:t xml:space="preserve">illustrate </w:t>
      </w:r>
      <w:r w:rsidR="00E23BC4" w:rsidRPr="00C076A9">
        <w:t xml:space="preserve">the </w:t>
      </w:r>
      <w:r w:rsidR="00EC54D9" w:rsidRPr="00C076A9">
        <w:t xml:space="preserve">nature and strength </w:t>
      </w:r>
      <w:r w:rsidR="00EC20E1" w:rsidRPr="00C076A9">
        <w:t xml:space="preserve">of </w:t>
      </w:r>
      <w:r w:rsidR="00EC54D9" w:rsidRPr="00C076A9">
        <w:t>regional hospital</w:t>
      </w:r>
      <w:r w:rsidR="004A4E85" w:rsidRPr="00C076A9">
        <w:t xml:space="preserve"> market</w:t>
      </w:r>
      <w:r w:rsidR="00A12108" w:rsidRPr="00C076A9">
        <w:t xml:space="preserve"> </w:t>
      </w:r>
      <w:r w:rsidR="000F55EC" w:rsidRPr="00C076A9">
        <w:t>condition</w:t>
      </w:r>
      <w:r w:rsidR="008067B3" w:rsidRPr="00C076A9">
        <w:t xml:space="preserve">s and </w:t>
      </w:r>
      <w:r w:rsidR="00A12108" w:rsidRPr="00C076A9">
        <w:t>trends</w:t>
      </w:r>
      <w:r w:rsidR="00EC20E1" w:rsidRPr="00C076A9">
        <w:t>:</w:t>
      </w:r>
    </w:p>
    <w:p w14:paraId="5221FBB9" w14:textId="77777777" w:rsidR="007126B4" w:rsidRPr="00C11B62" w:rsidRDefault="007126B4" w:rsidP="00C11B62">
      <w:pPr>
        <w:rPr>
          <w:highlight w:val="yellow"/>
        </w:rPr>
      </w:pPr>
    </w:p>
    <w:p w14:paraId="0055F57B" w14:textId="5ECDE127" w:rsidR="0081665D" w:rsidRDefault="00DE049B" w:rsidP="003610CC">
      <w:pPr>
        <w:pStyle w:val="ListParagraph"/>
        <w:widowControl/>
        <w:numPr>
          <w:ilvl w:val="0"/>
          <w:numId w:val="24"/>
        </w:numPr>
      </w:pPr>
      <w:r w:rsidRPr="00550283">
        <w:t xml:space="preserve">Though </w:t>
      </w:r>
      <w:proofErr w:type="gramStart"/>
      <w:r w:rsidR="00AE1F58" w:rsidRPr="00550283">
        <w:t>population</w:t>
      </w:r>
      <w:proofErr w:type="gramEnd"/>
      <w:r w:rsidR="00AE1F58" w:rsidRPr="00550283">
        <w:t xml:space="preserve"> growth </w:t>
      </w:r>
      <w:r w:rsidRPr="00550283">
        <w:t>rate</w:t>
      </w:r>
      <w:r w:rsidR="005305A7" w:rsidRPr="00550283">
        <w:t xml:space="preserve"> is attenuating</w:t>
      </w:r>
      <w:r w:rsidR="00C11B62" w:rsidRPr="00550283">
        <w:t xml:space="preserve">, as it </w:t>
      </w:r>
      <w:r w:rsidR="00071AFF" w:rsidRPr="00550283">
        <w:t xml:space="preserve">grows </w:t>
      </w:r>
      <w:r w:rsidR="005305A7" w:rsidRPr="00550283">
        <w:t xml:space="preserve">from </w:t>
      </w:r>
      <w:r w:rsidR="003C0448" w:rsidRPr="00550283">
        <w:t>a</w:t>
      </w:r>
      <w:r w:rsidR="00071AFF" w:rsidRPr="00550283">
        <w:t xml:space="preserve"> larger base</w:t>
      </w:r>
      <w:r w:rsidR="00442344" w:rsidRPr="00550283">
        <w:t xml:space="preserve"> each year,</w:t>
      </w:r>
      <w:r w:rsidR="003C0448" w:rsidRPr="00550283">
        <w:t xml:space="preserve"> it remains </w:t>
      </w:r>
      <w:r w:rsidR="00A25ED0" w:rsidRPr="00550283">
        <w:t xml:space="preserve">unusually strong. </w:t>
      </w:r>
      <w:r w:rsidR="0081665D" w:rsidRPr="00550283">
        <w:t xml:space="preserve">Northern Virginia’s population </w:t>
      </w:r>
      <w:r w:rsidR="00442344" w:rsidRPr="00550283">
        <w:rPr>
          <w:iCs/>
        </w:rPr>
        <w:t>grew</w:t>
      </w:r>
      <w:r w:rsidR="0081665D" w:rsidRPr="00550283">
        <w:rPr>
          <w:iCs/>
        </w:rPr>
        <w:t xml:space="preserve"> </w:t>
      </w:r>
      <w:r w:rsidR="0081665D" w:rsidRPr="00550283">
        <w:t xml:space="preserve">by about </w:t>
      </w:r>
      <w:r w:rsidR="00722036" w:rsidRPr="00550283">
        <w:t>40%</w:t>
      </w:r>
      <w:r w:rsidR="0081665D" w:rsidRPr="00550283">
        <w:t xml:space="preserve"> between 2000 and 2023, </w:t>
      </w:r>
      <w:r w:rsidR="00442344" w:rsidRPr="00550283">
        <w:t>increasing</w:t>
      </w:r>
      <w:r w:rsidR="0081665D" w:rsidRPr="00550283">
        <w:t xml:space="preserve"> from </w:t>
      </w:r>
      <w:r w:rsidR="006C4A3A" w:rsidRPr="00550283">
        <w:rPr>
          <w:szCs w:val="22"/>
        </w:rPr>
        <w:t>1,829,434</w:t>
      </w:r>
      <w:r w:rsidR="0081665D" w:rsidRPr="00550283">
        <w:t xml:space="preserve"> in 2000 to 2</w:t>
      </w:r>
      <w:r w:rsidR="00EC1317" w:rsidRPr="00550283">
        <w:t>,</w:t>
      </w:r>
      <w:r w:rsidR="0081665D" w:rsidRPr="00550283">
        <w:t>556</w:t>
      </w:r>
      <w:r w:rsidR="00EC1317" w:rsidRPr="00550283">
        <w:t>,</w:t>
      </w:r>
      <w:r w:rsidR="0081665D" w:rsidRPr="00550283">
        <w:t>143 in 2023</w:t>
      </w:r>
      <w:r w:rsidR="00A56463" w:rsidRPr="00550283">
        <w:t>.</w:t>
      </w:r>
      <w:r w:rsidR="0081665D" w:rsidRPr="00550283">
        <w:t xml:space="preserve">  </w:t>
      </w:r>
      <w:r w:rsidR="0038333B" w:rsidRPr="00550283">
        <w:t>The compound annual grow</w:t>
      </w:r>
      <w:r w:rsidR="00161887">
        <w:t>th</w:t>
      </w:r>
      <w:r w:rsidR="0038333B" w:rsidRPr="00550283">
        <w:t xml:space="preserve"> rate </w:t>
      </w:r>
      <w:r w:rsidR="009C27DE" w:rsidRPr="00550283">
        <w:t>over the</w:t>
      </w:r>
      <w:r w:rsidR="00BE3B33" w:rsidRPr="00550283">
        <w:t xml:space="preserve"> last two decades</w:t>
      </w:r>
      <w:r w:rsidR="00125104" w:rsidRPr="00550283">
        <w:t xml:space="preserve"> was 1.47%.</w:t>
      </w:r>
      <w:r w:rsidR="009C27DE" w:rsidRPr="00550283">
        <w:t xml:space="preserve"> </w:t>
      </w:r>
      <w:r w:rsidR="008653B8" w:rsidRPr="00550283">
        <w:t xml:space="preserve">A notable </w:t>
      </w:r>
      <w:r w:rsidR="00AE1F58" w:rsidRPr="00550283">
        <w:t xml:space="preserve">decrease </w:t>
      </w:r>
      <w:r w:rsidR="00A50DF9" w:rsidRPr="00550283">
        <w:t xml:space="preserve">from </w:t>
      </w:r>
      <w:r w:rsidR="008653B8" w:rsidRPr="00550283">
        <w:t>the previous two decade</w:t>
      </w:r>
      <w:r w:rsidR="003E0A08" w:rsidRPr="00550283">
        <w:t xml:space="preserve">s but </w:t>
      </w:r>
      <w:r w:rsidR="00DE5DB7" w:rsidRPr="00550283">
        <w:t>strong,</w:t>
      </w:r>
      <w:r w:rsidR="003E0A08" w:rsidRPr="00550283">
        <w:t xml:space="preserve"> nonetheless. </w:t>
      </w:r>
    </w:p>
    <w:p w14:paraId="3D116ABF" w14:textId="77777777" w:rsidR="00C636C5" w:rsidRDefault="00C636C5" w:rsidP="00DE5DB7">
      <w:pPr>
        <w:pStyle w:val="ListParagraph"/>
      </w:pPr>
    </w:p>
    <w:p w14:paraId="22C60F40" w14:textId="743E5807" w:rsidR="00C636C5" w:rsidRDefault="0057362D" w:rsidP="006A77FC">
      <w:pPr>
        <w:pStyle w:val="ListParagraph"/>
        <w:numPr>
          <w:ilvl w:val="0"/>
          <w:numId w:val="23"/>
        </w:numPr>
      </w:pPr>
      <w:r>
        <w:t xml:space="preserve">The </w:t>
      </w:r>
      <w:r w:rsidR="004A4E85">
        <w:t>regional</w:t>
      </w:r>
      <w:r w:rsidR="005D0873">
        <w:t xml:space="preserve"> hospital </w:t>
      </w:r>
      <w:r w:rsidR="00EC1317">
        <w:t>discharge</w:t>
      </w:r>
      <w:r>
        <w:t xml:space="preserve"> </w:t>
      </w:r>
      <w:r w:rsidRPr="008D0FEC">
        <w:rPr>
          <w:i/>
          <w:iCs/>
        </w:rPr>
        <w:t xml:space="preserve">rate </w:t>
      </w:r>
      <w:r w:rsidRPr="008D0FEC">
        <w:rPr>
          <w:i/>
        </w:rPr>
        <w:t>decreased</w:t>
      </w:r>
      <w:r w:rsidRPr="00CE408B">
        <w:rPr>
          <w:i/>
          <w:u w:val="single"/>
        </w:rPr>
        <w:t xml:space="preserve"> </w:t>
      </w:r>
      <w:r>
        <w:t xml:space="preserve">by about </w:t>
      </w:r>
      <w:r w:rsidR="00F179ED">
        <w:t>14</w:t>
      </w:r>
      <w:r w:rsidR="005D0873">
        <w:t xml:space="preserve">% over </w:t>
      </w:r>
      <w:r w:rsidR="004A4E85">
        <w:t>this period</w:t>
      </w:r>
      <w:r w:rsidR="005D0873">
        <w:t>,</w:t>
      </w:r>
      <w:r w:rsidR="006418B2">
        <w:t xml:space="preserve"> dropping</w:t>
      </w:r>
      <w:r>
        <w:t xml:space="preserve"> </w:t>
      </w:r>
      <w:r w:rsidR="004A4E85">
        <w:t xml:space="preserve">from </w:t>
      </w:r>
      <w:r w:rsidR="00F179ED">
        <w:t xml:space="preserve">71.7 </w:t>
      </w:r>
      <w:r w:rsidR="00B10384">
        <w:t>communi</w:t>
      </w:r>
      <w:r w:rsidR="004B50BB">
        <w:t>ty</w:t>
      </w:r>
      <w:r w:rsidR="00B10384">
        <w:t xml:space="preserve"> hospital discharges in 2000 to 61.4 </w:t>
      </w:r>
      <w:r w:rsidR="00693E22">
        <w:t>discharges</w:t>
      </w:r>
      <w:r w:rsidR="00B10384">
        <w:t xml:space="preserve"> per 1,000 in 2023</w:t>
      </w:r>
      <w:r w:rsidR="004B50BB">
        <w:t xml:space="preserve">. </w:t>
      </w:r>
      <w:r w:rsidR="00B77EE4">
        <w:t xml:space="preserve">The discharge rate </w:t>
      </w:r>
      <w:r w:rsidR="005D5919">
        <w:t>CAGR was negative (-</w:t>
      </w:r>
      <w:r w:rsidR="00CB09F0">
        <w:t>0</w:t>
      </w:r>
      <w:r w:rsidR="005D5919">
        <w:t>.</w:t>
      </w:r>
      <w:r w:rsidR="00CB09F0">
        <w:t>67</w:t>
      </w:r>
      <w:r w:rsidR="00495E0A">
        <w:t>%</w:t>
      </w:r>
      <w:r w:rsidR="00CB09F0">
        <w:t>)</w:t>
      </w:r>
      <w:r w:rsidR="00495E0A">
        <w:t>.</w:t>
      </w:r>
      <w:r w:rsidR="00CB09F0">
        <w:t xml:space="preserve"> </w:t>
      </w:r>
    </w:p>
    <w:p w14:paraId="330B0BA4" w14:textId="77777777" w:rsidR="00C636C5" w:rsidRDefault="00C636C5" w:rsidP="00BA11C5">
      <w:pPr>
        <w:pStyle w:val="ListParagraph"/>
      </w:pPr>
    </w:p>
    <w:p w14:paraId="585A65F8" w14:textId="77777777" w:rsidR="007B5DC8" w:rsidRPr="008D0FEC" w:rsidRDefault="007B5DC8" w:rsidP="007B5DC8">
      <w:pPr>
        <w:pStyle w:val="ListParagraph"/>
        <w:widowControl/>
        <w:numPr>
          <w:ilvl w:val="0"/>
          <w:numId w:val="24"/>
        </w:numPr>
        <w:rPr>
          <w:b/>
          <w:bCs/>
          <w:szCs w:val="22"/>
        </w:rPr>
      </w:pPr>
      <w:r>
        <w:lastRenderedPageBreak/>
        <w:t xml:space="preserve">The </w:t>
      </w:r>
      <w:r w:rsidRPr="008D0FEC">
        <w:rPr>
          <w:i/>
          <w:iCs/>
        </w:rPr>
        <w:t>number (count)</w:t>
      </w:r>
      <w:r>
        <w:t xml:space="preserve"> of hospital discharges increased by about 20</w:t>
      </w:r>
      <w:r w:rsidRPr="00EE19F3">
        <w:rPr>
          <w:rFonts w:ascii="Calibri" w:hAnsi="Calibri" w:cs="Calibri"/>
          <w:color w:val="000000"/>
          <w:szCs w:val="22"/>
        </w:rPr>
        <w:t>%,</w:t>
      </w:r>
      <w:r>
        <w:t xml:space="preserve"> growing from 131,239 discharges in 2000 to 156,937 in 2023. The service volume CAGR, (0.78%) was about half the population CAGR.</w:t>
      </w:r>
    </w:p>
    <w:p w14:paraId="5E575B67" w14:textId="77777777" w:rsidR="007B5DC8" w:rsidRDefault="007B5DC8" w:rsidP="00BA11C5">
      <w:pPr>
        <w:pStyle w:val="ListParagraph"/>
      </w:pPr>
    </w:p>
    <w:p w14:paraId="32BAC0B6" w14:textId="1C9D1A54" w:rsidR="001D2FDB" w:rsidRDefault="006418B2" w:rsidP="00B86775">
      <w:r>
        <w:t xml:space="preserve">It is noteworthy that </w:t>
      </w:r>
      <w:r w:rsidR="00CA7B10">
        <w:t xml:space="preserve">during this period </w:t>
      </w:r>
      <w:r w:rsidR="002D72BE">
        <w:t xml:space="preserve">Northern Virginia shifted from a net exporter </w:t>
      </w:r>
      <w:r>
        <w:t>of hospital patients</w:t>
      </w:r>
      <w:r w:rsidR="00CA7B10">
        <w:t>,</w:t>
      </w:r>
      <w:r>
        <w:t xml:space="preserve"> </w:t>
      </w:r>
      <w:r w:rsidR="005D0873">
        <w:t>largely to District of Columbia h</w:t>
      </w:r>
      <w:r w:rsidR="00CA7B10">
        <w:t>ospitals,</w:t>
      </w:r>
      <w:r w:rsidR="00D45C15">
        <w:t xml:space="preserve"> </w:t>
      </w:r>
      <w:r w:rsidR="002D72BE">
        <w:t xml:space="preserve">to a net importer </w:t>
      </w:r>
      <w:r>
        <w:t>of patients</w:t>
      </w:r>
      <w:r w:rsidR="00CA7B10">
        <w:t>,</w:t>
      </w:r>
      <w:r>
        <w:t xml:space="preserve"> </w:t>
      </w:r>
      <w:r w:rsidR="00CA7B10">
        <w:t>l</w:t>
      </w:r>
      <w:r w:rsidR="00D45C15">
        <w:t>argely from bordering Virginia jurisdictions</w:t>
      </w:r>
      <w:r>
        <w:t>.</w:t>
      </w:r>
      <w:r w:rsidR="00A12108">
        <w:t xml:space="preserve"> This pattern is now well established and not likely to change</w:t>
      </w:r>
      <w:r w:rsidR="00BA11C5">
        <w:t xml:space="preserve"> soon</w:t>
      </w:r>
      <w:r w:rsidR="00A12108">
        <w:t>.</w:t>
      </w:r>
    </w:p>
    <w:p w14:paraId="59894770" w14:textId="77777777" w:rsidR="00EE61DA" w:rsidRPr="0003315B" w:rsidRDefault="00EE61DA" w:rsidP="00EE61DA"/>
    <w:p w14:paraId="02868C1A" w14:textId="56685520" w:rsidR="006E246B" w:rsidRDefault="0023188F" w:rsidP="00D4566D">
      <w:r>
        <w:t>As these gross stat</w:t>
      </w:r>
      <w:r w:rsidR="004B3E9C">
        <w:t xml:space="preserve">istics </w:t>
      </w:r>
      <w:r>
        <w:t xml:space="preserve">suggest, the </w:t>
      </w:r>
      <w:r w:rsidR="0077355C">
        <w:t xml:space="preserve">secular decrease in regional </w:t>
      </w:r>
      <w:r>
        <w:t xml:space="preserve">inpatient hospital use rates </w:t>
      </w:r>
      <w:r w:rsidR="00D50ABA">
        <w:t>continues to offset</w:t>
      </w:r>
      <w:r>
        <w:t xml:space="preserve"> </w:t>
      </w:r>
      <w:r w:rsidR="00277B23">
        <w:t xml:space="preserve">most of the </w:t>
      </w:r>
      <w:r>
        <w:t xml:space="preserve">demand generated </w:t>
      </w:r>
      <w:r w:rsidR="00475CA5">
        <w:t>by</w:t>
      </w:r>
      <w:r>
        <w:t xml:space="preserve"> population growth and aging. </w:t>
      </w:r>
      <w:r w:rsidR="001C3EC0">
        <w:t>T</w:t>
      </w:r>
      <w:r w:rsidR="00D56111">
        <w:t xml:space="preserve">he decrease </w:t>
      </w:r>
      <w:r w:rsidR="001C3EC0">
        <w:t>in</w:t>
      </w:r>
      <w:r w:rsidR="00D56111">
        <w:t xml:space="preserve"> resident </w:t>
      </w:r>
      <w:r w:rsidR="00982298">
        <w:t>hospital use rates is statewide in Virgini</w:t>
      </w:r>
      <w:r w:rsidR="002029DD">
        <w:t xml:space="preserve">a. It has been </w:t>
      </w:r>
      <w:r w:rsidR="002A363B">
        <w:t>underway longer</w:t>
      </w:r>
      <w:r w:rsidR="002029DD">
        <w:t xml:space="preserve"> and </w:t>
      </w:r>
      <w:r w:rsidR="00BC65EC">
        <w:t>steeper in northern Virginia than elsewhere</w:t>
      </w:r>
      <w:r w:rsidR="002A363B">
        <w:t>, but significant statewide</w:t>
      </w:r>
      <w:r w:rsidR="007D2560">
        <w:t xml:space="preserve"> </w:t>
      </w:r>
      <w:r w:rsidR="001C3EC0">
        <w:t>(</w:t>
      </w:r>
      <w:r w:rsidR="007D2560">
        <w:t xml:space="preserve">Table </w:t>
      </w:r>
      <w:r w:rsidR="001C3EC0">
        <w:t>2)</w:t>
      </w:r>
      <w:r w:rsidR="002A363B">
        <w:t xml:space="preserve">. Over the last two decades </w:t>
      </w:r>
      <w:r w:rsidR="004C718E">
        <w:t>the indigenous discharge</w:t>
      </w:r>
      <w:r w:rsidR="00B44A9F">
        <w:t xml:space="preserve"> rate in northern Virginia has been between 30% and 35% </w:t>
      </w:r>
      <w:r w:rsidR="00677794">
        <w:t xml:space="preserve">lower </w:t>
      </w:r>
      <w:proofErr w:type="gramStart"/>
      <w:r w:rsidR="00677794">
        <w:t xml:space="preserve">than </w:t>
      </w:r>
      <w:r w:rsidR="00B44A9F">
        <w:t xml:space="preserve"> the</w:t>
      </w:r>
      <w:proofErr w:type="gramEnd"/>
      <w:r w:rsidR="00B44A9F">
        <w:t xml:space="preserve"> </w:t>
      </w:r>
      <w:r w:rsidR="007D2560">
        <w:t>statewide rate.</w:t>
      </w:r>
    </w:p>
    <w:p w14:paraId="6AC6A3BF" w14:textId="77777777" w:rsidR="007B4F18" w:rsidRDefault="007B4F18" w:rsidP="00D4566D"/>
    <w:p w14:paraId="3DFB89B1" w14:textId="4EF071C1" w:rsidR="007B4F18" w:rsidRDefault="007B4F18" w:rsidP="00D4566D">
      <w:r w:rsidRPr="007B4F18">
        <w:rPr>
          <w:noProof/>
        </w:rPr>
        <w:drawing>
          <wp:inline distT="0" distB="0" distL="0" distR="0" wp14:anchorId="16A05222" wp14:editId="4376D761">
            <wp:extent cx="5634990" cy="1754505"/>
            <wp:effectExtent l="0" t="0" r="3810" b="0"/>
            <wp:docPr id="5096523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4990" cy="1754505"/>
                    </a:xfrm>
                    <a:prstGeom prst="rect">
                      <a:avLst/>
                    </a:prstGeom>
                    <a:noFill/>
                    <a:ln>
                      <a:noFill/>
                    </a:ln>
                  </pic:spPr>
                </pic:pic>
              </a:graphicData>
            </a:graphic>
          </wp:inline>
        </w:drawing>
      </w:r>
    </w:p>
    <w:p w14:paraId="7EB970F2" w14:textId="1238E761" w:rsidR="00A12108" w:rsidRDefault="00632A79" w:rsidP="00D4566D">
      <w:r>
        <w:t>These trends and patterns of use are not likely to change soon. Consequently, there is no indication of a near term (within the next five to 10 years) regional need for additional hospital capacity.</w:t>
      </w:r>
    </w:p>
    <w:p w14:paraId="2CA7B02E" w14:textId="77777777" w:rsidR="00F0244E" w:rsidRDefault="00F0244E" w:rsidP="00D4566D"/>
    <w:p w14:paraId="5824884F" w14:textId="77777777" w:rsidR="00030F77" w:rsidRDefault="00030F77" w:rsidP="00D4566D"/>
    <w:p w14:paraId="0C8E273A" w14:textId="08BF0227" w:rsidR="007A350B" w:rsidRDefault="00C23A46" w:rsidP="007A350B">
      <w:pPr>
        <w:rPr>
          <w:b/>
          <w:i/>
          <w:u w:val="single"/>
        </w:rPr>
      </w:pPr>
      <w:r>
        <w:rPr>
          <w:b/>
          <w:i/>
          <w:u w:val="single"/>
        </w:rPr>
        <w:t>Inova Fairfax Hospital</w:t>
      </w:r>
      <w:r w:rsidR="00B5709F">
        <w:rPr>
          <w:b/>
          <w:i/>
          <w:u w:val="single"/>
        </w:rPr>
        <w:t xml:space="preserve"> Argument</w:t>
      </w:r>
      <w:r>
        <w:rPr>
          <w:b/>
          <w:i/>
          <w:u w:val="single"/>
        </w:rPr>
        <w:t xml:space="preserve"> </w:t>
      </w:r>
      <w:r w:rsidR="00DC1498">
        <w:rPr>
          <w:b/>
          <w:i/>
          <w:u w:val="single"/>
        </w:rPr>
        <w:t xml:space="preserve">      </w:t>
      </w:r>
    </w:p>
    <w:p w14:paraId="69167D26" w14:textId="77777777" w:rsidR="00634077" w:rsidRPr="00F028E3" w:rsidRDefault="00634077" w:rsidP="007A350B">
      <w:pPr>
        <w:rPr>
          <w:bCs/>
          <w:iCs/>
        </w:rPr>
      </w:pPr>
    </w:p>
    <w:p w14:paraId="2F17BD69" w14:textId="3B5ABA0D" w:rsidR="00E42A68" w:rsidRDefault="007172CB" w:rsidP="00E42A68">
      <w:r w:rsidRPr="00F655A0">
        <w:t xml:space="preserve">Inova proposes </w:t>
      </w:r>
      <w:r w:rsidR="003C15F6" w:rsidRPr="00F655A0">
        <w:t>adding</w:t>
      </w:r>
      <w:r w:rsidRPr="00F655A0">
        <w:t xml:space="preserve"> 48 beds</w:t>
      </w:r>
      <w:r w:rsidR="00D306F5">
        <w:t xml:space="preserve"> at Inova </w:t>
      </w:r>
      <w:r w:rsidR="00D306F5" w:rsidRPr="00F655A0">
        <w:t>Fairfax Hospital (IFH)</w:t>
      </w:r>
      <w:r w:rsidR="00B330CD">
        <w:t>.</w:t>
      </w:r>
      <w:r w:rsidRPr="00F655A0">
        <w:t xml:space="preserve"> This would increase the hospital’s licensed complemen</w:t>
      </w:r>
      <w:r w:rsidR="00BA11C5" w:rsidRPr="001E0265">
        <w:t>t to 976 beds, 554 of which would be for general medical-surgical use.</w:t>
      </w:r>
      <w:r w:rsidR="00BA11C5">
        <w:t xml:space="preserve"> </w:t>
      </w:r>
      <w:r w:rsidR="00E42A68" w:rsidRPr="00E42A68">
        <w:t xml:space="preserve">The project entails the conversion of </w:t>
      </w:r>
      <w:r w:rsidR="00E42A68">
        <w:t xml:space="preserve">the </w:t>
      </w:r>
      <w:r w:rsidR="00E42A68" w:rsidRPr="00E42A68">
        <w:t xml:space="preserve">second and sixth floors </w:t>
      </w:r>
      <w:r w:rsidR="00F874A3">
        <w:t>of</w:t>
      </w:r>
      <w:r w:rsidR="00E42A68" w:rsidRPr="00E42A68">
        <w:t xml:space="preserve"> the </w:t>
      </w:r>
      <w:r w:rsidR="00335E5D">
        <w:t xml:space="preserve">hospital’s </w:t>
      </w:r>
      <w:r w:rsidR="00E42A68" w:rsidRPr="00E42A68">
        <w:t xml:space="preserve">north patient tower </w:t>
      </w:r>
      <w:proofErr w:type="gramStart"/>
      <w:r w:rsidR="00E42A68" w:rsidRPr="00E42A68">
        <w:t>to</w:t>
      </w:r>
      <w:proofErr w:type="gramEnd"/>
      <w:r w:rsidR="00E42A68" w:rsidRPr="00E42A68">
        <w:t xml:space="preserve"> </w:t>
      </w:r>
      <w:r w:rsidR="007A0353">
        <w:t xml:space="preserve">two </w:t>
      </w:r>
      <w:r w:rsidR="00E42A68" w:rsidRPr="00E42A68">
        <w:t>twenty</w:t>
      </w:r>
      <w:r w:rsidR="00E42A68" w:rsidRPr="0032648F">
        <w:t xml:space="preserve">-four (24) </w:t>
      </w:r>
      <w:r w:rsidR="00E42A68" w:rsidRPr="00E42A68">
        <w:t>bed nursing units. The space to be reallocat</w:t>
      </w:r>
      <w:r w:rsidR="00943D88">
        <w:t>ed</w:t>
      </w:r>
      <w:r w:rsidR="00E42A68" w:rsidRPr="00E42A68">
        <w:t xml:space="preserve"> now houses administrative offices and an observation nursing unit.  </w:t>
      </w:r>
    </w:p>
    <w:p w14:paraId="390C7CAD" w14:textId="77777777" w:rsidR="00E42A68" w:rsidRDefault="00E42A68" w:rsidP="007172CB"/>
    <w:p w14:paraId="26A95E15" w14:textId="33929801" w:rsidR="002D5020" w:rsidRPr="00BE47B3" w:rsidRDefault="00E4319E" w:rsidP="002D5020">
      <w:pPr>
        <w:rPr>
          <w:bCs/>
          <w:iCs/>
        </w:rPr>
      </w:pPr>
      <w:r w:rsidRPr="00BE47B3">
        <w:t xml:space="preserve">IFH acknowledges that the </w:t>
      </w:r>
      <w:r w:rsidR="007172CB" w:rsidRPr="00BE47B3">
        <w:t xml:space="preserve">bed need determination analysis called for in </w:t>
      </w:r>
      <w:r w:rsidR="00376A89" w:rsidRPr="00BE47B3">
        <w:t>Virginia</w:t>
      </w:r>
      <w:r w:rsidRPr="00BE47B3">
        <w:t xml:space="preserve"> S</w:t>
      </w:r>
      <w:r w:rsidR="00BA11C5" w:rsidRPr="00BE47B3">
        <w:t xml:space="preserve">tate </w:t>
      </w:r>
      <w:r w:rsidR="009822BD" w:rsidRPr="00BE47B3">
        <w:t>Medical Facilities Plan projects</w:t>
      </w:r>
      <w:r w:rsidR="007172CB" w:rsidRPr="00BE47B3">
        <w:t xml:space="preserve"> a </w:t>
      </w:r>
      <w:r w:rsidR="003C15F6" w:rsidRPr="00BE47B3">
        <w:t>regi</w:t>
      </w:r>
      <w:r w:rsidR="003D1490" w:rsidRPr="00BE47B3">
        <w:t xml:space="preserve">onal </w:t>
      </w:r>
      <w:r w:rsidR="007172CB" w:rsidRPr="00BE47B3">
        <w:t xml:space="preserve">bed surplus </w:t>
      </w:r>
      <w:r w:rsidR="00DF0642" w:rsidRPr="00BE47B3">
        <w:t>of mo</w:t>
      </w:r>
      <w:r w:rsidR="00335E5D" w:rsidRPr="00BE47B3">
        <w:t>r</w:t>
      </w:r>
      <w:r w:rsidR="00DF0642" w:rsidRPr="00BE47B3">
        <w:t xml:space="preserve">e than one </w:t>
      </w:r>
      <w:r w:rsidR="007172CB" w:rsidRPr="00BE47B3">
        <w:t>hundred bed</w:t>
      </w:r>
      <w:r w:rsidRPr="00BE47B3">
        <w:t>s</w:t>
      </w:r>
      <w:r w:rsidR="00BE47B3" w:rsidRPr="00BE47B3">
        <w:t>.</w:t>
      </w:r>
      <w:r w:rsidR="007172CB" w:rsidRPr="00BE47B3">
        <w:t xml:space="preserve"> </w:t>
      </w:r>
      <w:r w:rsidR="00EE3E46" w:rsidRPr="00BE47B3">
        <w:t>The regional bed surplus</w:t>
      </w:r>
      <w:r w:rsidRPr="00BE47B3">
        <w:t xml:space="preserve"> notwithstanding, Inova argues that IFH has </w:t>
      </w:r>
      <w:r w:rsidR="007172CB" w:rsidRPr="00BE47B3">
        <w:t xml:space="preserve">an </w:t>
      </w:r>
      <w:r w:rsidR="007172CB" w:rsidRPr="00BE47B3">
        <w:rPr>
          <w:i/>
        </w:rPr>
        <w:t>institution specific need</w:t>
      </w:r>
      <w:r w:rsidR="007172CB" w:rsidRPr="00BE47B3">
        <w:t xml:space="preserve"> for additional beds to meet</w:t>
      </w:r>
      <w:r w:rsidR="00EE3E46" w:rsidRPr="00BE47B3">
        <w:t xml:space="preserve"> current and </w:t>
      </w:r>
      <w:r w:rsidR="007172CB" w:rsidRPr="00BE47B3">
        <w:t xml:space="preserve">projected </w:t>
      </w:r>
      <w:r w:rsidR="00A27AFB" w:rsidRPr="00BE47B3">
        <w:t xml:space="preserve">near term </w:t>
      </w:r>
      <w:r w:rsidRPr="00BE47B3">
        <w:t>demand.</w:t>
      </w:r>
      <w:r w:rsidR="00684F2E" w:rsidRPr="00BE47B3">
        <w:t xml:space="preserve"> </w:t>
      </w:r>
      <w:r w:rsidR="00A27AFB" w:rsidRPr="00BE47B3">
        <w:t>The hospital’s m</w:t>
      </w:r>
      <w:r w:rsidR="002D5020" w:rsidRPr="00BE47B3">
        <w:rPr>
          <w:bCs/>
          <w:iCs/>
        </w:rPr>
        <w:t>edical</w:t>
      </w:r>
      <w:r w:rsidR="00A27AFB" w:rsidRPr="00BE47B3">
        <w:rPr>
          <w:bCs/>
          <w:iCs/>
        </w:rPr>
        <w:t>-</w:t>
      </w:r>
      <w:r w:rsidR="002D5020" w:rsidRPr="00BE47B3">
        <w:rPr>
          <w:bCs/>
          <w:iCs/>
        </w:rPr>
        <w:t>surgical occupancy reached 89% in 2023</w:t>
      </w:r>
      <w:r w:rsidR="00A27AFB" w:rsidRPr="00BE47B3">
        <w:rPr>
          <w:bCs/>
          <w:iCs/>
        </w:rPr>
        <w:t xml:space="preserve"> and</w:t>
      </w:r>
      <w:r w:rsidR="00700626" w:rsidRPr="00BE47B3">
        <w:rPr>
          <w:bCs/>
          <w:iCs/>
        </w:rPr>
        <w:t xml:space="preserve">, without </w:t>
      </w:r>
      <w:r w:rsidR="00C61A7D" w:rsidRPr="00BE47B3">
        <w:rPr>
          <w:bCs/>
          <w:iCs/>
        </w:rPr>
        <w:t>an</w:t>
      </w:r>
      <w:r w:rsidR="00700626" w:rsidRPr="00BE47B3">
        <w:rPr>
          <w:bCs/>
          <w:iCs/>
        </w:rPr>
        <w:t xml:space="preserve"> increase i</w:t>
      </w:r>
      <w:r w:rsidR="004577D1">
        <w:rPr>
          <w:bCs/>
          <w:iCs/>
        </w:rPr>
        <w:t>n</w:t>
      </w:r>
      <w:r w:rsidR="00700626" w:rsidRPr="00BE47B3">
        <w:rPr>
          <w:bCs/>
          <w:iCs/>
        </w:rPr>
        <w:t xml:space="preserve"> capacity,</w:t>
      </w:r>
      <w:r w:rsidR="00A27AFB" w:rsidRPr="00BE47B3">
        <w:rPr>
          <w:bCs/>
          <w:iCs/>
        </w:rPr>
        <w:t xml:space="preserve"> is</w:t>
      </w:r>
      <w:r w:rsidR="002D5020" w:rsidRPr="00BE47B3">
        <w:rPr>
          <w:bCs/>
          <w:iCs/>
        </w:rPr>
        <w:t xml:space="preserve"> expected to reach 98% </w:t>
      </w:r>
      <w:r w:rsidR="00DE23FC" w:rsidRPr="00BE47B3">
        <w:rPr>
          <w:bCs/>
          <w:iCs/>
        </w:rPr>
        <w:t xml:space="preserve">within two years. </w:t>
      </w:r>
    </w:p>
    <w:p w14:paraId="35B8A3C6" w14:textId="200D29AB" w:rsidR="007338ED" w:rsidRDefault="007338ED" w:rsidP="008E3981">
      <w:pPr>
        <w:pStyle w:val="NormalWeb"/>
        <w:rPr>
          <w:iCs/>
          <w:sz w:val="22"/>
          <w:szCs w:val="22"/>
        </w:rPr>
      </w:pPr>
      <w:r w:rsidRPr="00490402">
        <w:rPr>
          <w:iCs/>
          <w:sz w:val="22"/>
          <w:szCs w:val="22"/>
        </w:rPr>
        <w:lastRenderedPageBreak/>
        <w:t xml:space="preserve">Some may </w:t>
      </w:r>
      <w:r w:rsidR="001C3EC0" w:rsidRPr="00490402">
        <w:rPr>
          <w:iCs/>
          <w:sz w:val="22"/>
          <w:szCs w:val="22"/>
        </w:rPr>
        <w:t xml:space="preserve">perceive </w:t>
      </w:r>
      <w:r w:rsidR="00876743" w:rsidRPr="00490402">
        <w:rPr>
          <w:iCs/>
          <w:sz w:val="22"/>
          <w:szCs w:val="22"/>
        </w:rPr>
        <w:t xml:space="preserve">the expansion of IFH as </w:t>
      </w:r>
      <w:r w:rsidRPr="00490402">
        <w:rPr>
          <w:iCs/>
          <w:sz w:val="22"/>
          <w:szCs w:val="22"/>
        </w:rPr>
        <w:t>problematic</w:t>
      </w:r>
      <w:r w:rsidR="00876743" w:rsidRPr="00490402">
        <w:rPr>
          <w:iCs/>
          <w:sz w:val="22"/>
          <w:szCs w:val="22"/>
        </w:rPr>
        <w:t xml:space="preserve">. Inova Fairfax </w:t>
      </w:r>
      <w:r w:rsidRPr="00490402">
        <w:rPr>
          <w:iCs/>
          <w:sz w:val="22"/>
          <w:szCs w:val="22"/>
        </w:rPr>
        <w:t xml:space="preserve">is part of a health care system, Inova Health System, which has five local </w:t>
      </w:r>
      <w:r w:rsidR="00780A2F" w:rsidRPr="00490402">
        <w:rPr>
          <w:iCs/>
          <w:sz w:val="22"/>
          <w:szCs w:val="22"/>
        </w:rPr>
        <w:t>hospitals,</w:t>
      </w:r>
      <w:r w:rsidRPr="00490402">
        <w:rPr>
          <w:iCs/>
          <w:sz w:val="22"/>
          <w:szCs w:val="22"/>
        </w:rPr>
        <w:t xml:space="preserve"> two of which, Inova Mount Vernon Hospital (IMVH) and Inova Alexandria Hospital (IAH), reported lower than average service volumes recently</w:t>
      </w:r>
      <w:r w:rsidR="004F4CF9" w:rsidRPr="00490402">
        <w:rPr>
          <w:iCs/>
          <w:sz w:val="22"/>
          <w:szCs w:val="22"/>
        </w:rPr>
        <w:t xml:space="preserve">. </w:t>
      </w:r>
      <w:r w:rsidR="00490402" w:rsidRPr="00490402">
        <w:rPr>
          <w:iCs/>
          <w:sz w:val="22"/>
          <w:szCs w:val="22"/>
        </w:rPr>
        <w:t>Arguably, unused</w:t>
      </w:r>
      <w:r w:rsidRPr="00490402">
        <w:rPr>
          <w:iCs/>
          <w:sz w:val="22"/>
          <w:szCs w:val="22"/>
        </w:rPr>
        <w:t xml:space="preserve"> medical-surgical </w:t>
      </w:r>
      <w:r w:rsidR="00490402" w:rsidRPr="00490402">
        <w:rPr>
          <w:iCs/>
          <w:sz w:val="22"/>
          <w:szCs w:val="22"/>
        </w:rPr>
        <w:t>capacity</w:t>
      </w:r>
      <w:r w:rsidRPr="00490402">
        <w:rPr>
          <w:iCs/>
          <w:sz w:val="22"/>
          <w:szCs w:val="22"/>
        </w:rPr>
        <w:t xml:space="preserve"> </w:t>
      </w:r>
      <w:r w:rsidR="00490402" w:rsidRPr="00490402">
        <w:rPr>
          <w:iCs/>
          <w:sz w:val="22"/>
          <w:szCs w:val="22"/>
        </w:rPr>
        <w:t>might</w:t>
      </w:r>
      <w:r w:rsidRPr="00490402">
        <w:rPr>
          <w:iCs/>
          <w:sz w:val="22"/>
          <w:szCs w:val="22"/>
        </w:rPr>
        <w:t xml:space="preserve"> be “transferred” or </w:t>
      </w:r>
      <w:r w:rsidR="008E3981" w:rsidRPr="00490402">
        <w:rPr>
          <w:iCs/>
          <w:sz w:val="22"/>
          <w:szCs w:val="22"/>
        </w:rPr>
        <w:t xml:space="preserve">otherwise </w:t>
      </w:r>
      <w:r w:rsidR="007A6570" w:rsidRPr="00490402">
        <w:rPr>
          <w:iCs/>
          <w:sz w:val="22"/>
          <w:szCs w:val="22"/>
        </w:rPr>
        <w:t xml:space="preserve">used to reduce demand at </w:t>
      </w:r>
      <w:r w:rsidRPr="00490402">
        <w:rPr>
          <w:iCs/>
          <w:sz w:val="22"/>
          <w:szCs w:val="22"/>
        </w:rPr>
        <w:t>Inova Fairfax Hospital.</w:t>
      </w:r>
      <w:r>
        <w:rPr>
          <w:iCs/>
          <w:sz w:val="22"/>
          <w:szCs w:val="22"/>
        </w:rPr>
        <w:t xml:space="preserve"> </w:t>
      </w:r>
    </w:p>
    <w:p w14:paraId="076FC085" w14:textId="679CB8CA" w:rsidR="007338ED" w:rsidRDefault="007338ED" w:rsidP="00A1427B">
      <w:pPr>
        <w:pStyle w:val="NormalWeb"/>
        <w:rPr>
          <w:iCs/>
          <w:sz w:val="22"/>
          <w:szCs w:val="22"/>
        </w:rPr>
      </w:pPr>
      <w:r w:rsidRPr="001C6120">
        <w:rPr>
          <w:iCs/>
          <w:sz w:val="22"/>
          <w:szCs w:val="22"/>
        </w:rPr>
        <w:t xml:space="preserve">As explained in the application, the </w:t>
      </w:r>
      <w:r w:rsidR="00E817A7" w:rsidRPr="001C6120">
        <w:rPr>
          <w:iCs/>
          <w:sz w:val="22"/>
          <w:szCs w:val="22"/>
        </w:rPr>
        <w:t xml:space="preserve">Inova Fairfax </w:t>
      </w:r>
      <w:r w:rsidRPr="001C6120">
        <w:rPr>
          <w:iCs/>
          <w:sz w:val="22"/>
          <w:szCs w:val="22"/>
        </w:rPr>
        <w:t>proposal takes fully into account the pending replacement of Inova Alexandria Hospital with smaller facilities at Landmark and in Springfield, VA and the redirection of patients who would otherwise use IFH to those hospitals. Likewise, changes underway at Inova Mount Vernon Hospital should result in efficient use of its licensed capacity.</w:t>
      </w:r>
    </w:p>
    <w:p w14:paraId="65395CC5" w14:textId="1F3A131E" w:rsidR="007338ED" w:rsidRDefault="007338ED" w:rsidP="00A1427B">
      <w:pPr>
        <w:pStyle w:val="NormalWeb"/>
        <w:rPr>
          <w:iCs/>
          <w:sz w:val="22"/>
          <w:szCs w:val="22"/>
        </w:rPr>
      </w:pPr>
      <w:r>
        <w:rPr>
          <w:iCs/>
          <w:sz w:val="22"/>
          <w:szCs w:val="22"/>
        </w:rPr>
        <w:t>In any event, it should be noted that transferring the license for a number of these beds to offset any increase in capacity at Inova Fairfax Hospital</w:t>
      </w:r>
      <w:r w:rsidR="009370A6">
        <w:rPr>
          <w:iCs/>
          <w:sz w:val="22"/>
          <w:szCs w:val="22"/>
        </w:rPr>
        <w:t xml:space="preserve">, </w:t>
      </w:r>
      <w:r w:rsidR="002E4BD1">
        <w:rPr>
          <w:iCs/>
          <w:sz w:val="22"/>
          <w:szCs w:val="22"/>
        </w:rPr>
        <w:t>or to any other facility,</w:t>
      </w:r>
      <w:r>
        <w:rPr>
          <w:iCs/>
          <w:sz w:val="22"/>
          <w:szCs w:val="22"/>
        </w:rPr>
        <w:t xml:space="preserve"> would be a technicality, a paper transaction</w:t>
      </w:r>
      <w:r w:rsidR="002E4BD1">
        <w:rPr>
          <w:iCs/>
          <w:sz w:val="22"/>
          <w:szCs w:val="22"/>
        </w:rPr>
        <w:t xml:space="preserve">. It </w:t>
      </w:r>
      <w:r>
        <w:rPr>
          <w:iCs/>
          <w:sz w:val="22"/>
          <w:szCs w:val="22"/>
        </w:rPr>
        <w:t xml:space="preserve">would reduce the number of licensed beds at the donor </w:t>
      </w:r>
      <w:proofErr w:type="gramStart"/>
      <w:r>
        <w:rPr>
          <w:iCs/>
          <w:sz w:val="22"/>
          <w:szCs w:val="22"/>
        </w:rPr>
        <w:t>facility</w:t>
      </w:r>
      <w:r w:rsidR="002E4BD1">
        <w:rPr>
          <w:iCs/>
          <w:sz w:val="22"/>
          <w:szCs w:val="22"/>
        </w:rPr>
        <w:t>,</w:t>
      </w:r>
      <w:r>
        <w:rPr>
          <w:iCs/>
          <w:sz w:val="22"/>
          <w:szCs w:val="22"/>
        </w:rPr>
        <w:t xml:space="preserve"> but</w:t>
      </w:r>
      <w:proofErr w:type="gramEnd"/>
      <w:r>
        <w:rPr>
          <w:iCs/>
          <w:sz w:val="22"/>
          <w:szCs w:val="22"/>
        </w:rPr>
        <w:t xml:space="preserve"> would not affect the</w:t>
      </w:r>
      <w:r w:rsidR="00647D25">
        <w:rPr>
          <w:iCs/>
          <w:sz w:val="22"/>
          <w:szCs w:val="22"/>
        </w:rPr>
        <w:t xml:space="preserve"> </w:t>
      </w:r>
      <w:r>
        <w:rPr>
          <w:iCs/>
          <w:sz w:val="22"/>
          <w:szCs w:val="22"/>
        </w:rPr>
        <w:t xml:space="preserve">cost of the Inova Fairfax Hospital project or generate other benefits. </w:t>
      </w:r>
    </w:p>
    <w:p w14:paraId="2E030061" w14:textId="582411BC" w:rsidR="00BE3820" w:rsidRPr="00561A46" w:rsidRDefault="000A7495" w:rsidP="00561A46">
      <w:pPr>
        <w:pStyle w:val="NormalWeb"/>
        <w:rPr>
          <w:iCs/>
          <w:sz w:val="22"/>
          <w:szCs w:val="22"/>
        </w:rPr>
      </w:pPr>
      <w:r>
        <w:rPr>
          <w:iCs/>
          <w:sz w:val="22"/>
          <w:szCs w:val="22"/>
        </w:rPr>
        <w:t>IFH service volumes, current and projected, and the absence of unused capacity within Inova Health System facilities that could be reallocated to respond to increasing demand</w:t>
      </w:r>
      <w:r w:rsidR="00A1427B">
        <w:rPr>
          <w:iCs/>
          <w:sz w:val="22"/>
          <w:szCs w:val="22"/>
        </w:rPr>
        <w:t xml:space="preserve"> at </w:t>
      </w:r>
      <w:r w:rsidR="00561A46">
        <w:rPr>
          <w:iCs/>
          <w:sz w:val="22"/>
          <w:szCs w:val="22"/>
        </w:rPr>
        <w:t>IFH</w:t>
      </w:r>
      <w:r>
        <w:rPr>
          <w:iCs/>
          <w:sz w:val="22"/>
          <w:szCs w:val="22"/>
        </w:rPr>
        <w:t xml:space="preserve">, qualify the proposal for consideration </w:t>
      </w:r>
      <w:r w:rsidRPr="0023742E">
        <w:rPr>
          <w:iCs/>
          <w:sz w:val="22"/>
          <w:szCs w:val="22"/>
        </w:rPr>
        <w:t xml:space="preserve">under Section </w:t>
      </w:r>
      <w:r w:rsidRPr="0023742E">
        <w:rPr>
          <w:color w:val="000000" w:themeColor="text1"/>
        </w:rPr>
        <w:t>12VAC5-230-80(A)</w:t>
      </w:r>
      <w:r w:rsidRPr="0023742E">
        <w:rPr>
          <w:iCs/>
          <w:sz w:val="22"/>
          <w:szCs w:val="22"/>
        </w:rPr>
        <w:t xml:space="preserve"> of the</w:t>
      </w:r>
      <w:r>
        <w:rPr>
          <w:iCs/>
          <w:sz w:val="22"/>
          <w:szCs w:val="22"/>
        </w:rPr>
        <w:t xml:space="preserve"> Virginia State Medical Facilities Plan</w:t>
      </w:r>
      <w:r w:rsidR="00561A46">
        <w:rPr>
          <w:iCs/>
          <w:sz w:val="22"/>
          <w:szCs w:val="22"/>
        </w:rPr>
        <w:t>.</w:t>
      </w:r>
    </w:p>
    <w:p w14:paraId="60F2436F" w14:textId="6792230B" w:rsidR="00EE242B" w:rsidRDefault="00783BD4" w:rsidP="00707D60">
      <w:pPr>
        <w:rPr>
          <w:szCs w:val="22"/>
        </w:rPr>
      </w:pPr>
      <w:r w:rsidRPr="00796814">
        <w:rPr>
          <w:szCs w:val="22"/>
        </w:rPr>
        <w:t>At 80% occupancy</w:t>
      </w:r>
      <w:r w:rsidR="002E4BD1">
        <w:rPr>
          <w:szCs w:val="22"/>
        </w:rPr>
        <w:t>, adding</w:t>
      </w:r>
      <w:r w:rsidRPr="00796814">
        <w:rPr>
          <w:szCs w:val="22"/>
        </w:rPr>
        <w:t xml:space="preserve"> </w:t>
      </w:r>
      <w:r w:rsidR="000A7495">
        <w:rPr>
          <w:szCs w:val="22"/>
        </w:rPr>
        <w:t xml:space="preserve">the 48 </w:t>
      </w:r>
      <w:r w:rsidRPr="00796814">
        <w:rPr>
          <w:szCs w:val="22"/>
        </w:rPr>
        <w:t xml:space="preserve">beds </w:t>
      </w:r>
      <w:r w:rsidR="000A7495">
        <w:rPr>
          <w:szCs w:val="22"/>
        </w:rPr>
        <w:t xml:space="preserve">requested </w:t>
      </w:r>
      <w:r w:rsidRPr="00796814">
        <w:rPr>
          <w:szCs w:val="22"/>
        </w:rPr>
        <w:t xml:space="preserve">would </w:t>
      </w:r>
      <w:r w:rsidR="0030713B" w:rsidRPr="00796814">
        <w:rPr>
          <w:szCs w:val="22"/>
        </w:rPr>
        <w:t>permit IFH</w:t>
      </w:r>
      <w:r w:rsidRPr="00796814">
        <w:rPr>
          <w:szCs w:val="22"/>
        </w:rPr>
        <w:t xml:space="preserve"> to serve </w:t>
      </w:r>
      <w:r w:rsidR="000A7495">
        <w:rPr>
          <w:szCs w:val="22"/>
        </w:rPr>
        <w:t>about 3,000</w:t>
      </w:r>
      <w:r w:rsidRPr="00796814">
        <w:rPr>
          <w:szCs w:val="22"/>
        </w:rPr>
        <w:t xml:space="preserve"> additional medical-</w:t>
      </w:r>
      <w:r w:rsidR="00287307">
        <w:rPr>
          <w:szCs w:val="22"/>
        </w:rPr>
        <w:t xml:space="preserve">surgical patients annually. </w:t>
      </w:r>
      <w:r w:rsidR="00561A46">
        <w:rPr>
          <w:szCs w:val="22"/>
        </w:rPr>
        <w:t xml:space="preserve"> </w:t>
      </w:r>
    </w:p>
    <w:p w14:paraId="24E8F18E" w14:textId="77777777" w:rsidR="00F0244E" w:rsidRDefault="00F0244E" w:rsidP="00707D60">
      <w:pPr>
        <w:rPr>
          <w:szCs w:val="22"/>
        </w:rPr>
      </w:pPr>
    </w:p>
    <w:p w14:paraId="4911F242" w14:textId="77777777" w:rsidR="001C76C5" w:rsidRPr="000F7F70" w:rsidRDefault="00EE242B" w:rsidP="00707D60">
      <w:pPr>
        <w:rPr>
          <w:b/>
          <w:i/>
          <w:u w:val="single"/>
        </w:rPr>
      </w:pPr>
      <w:r w:rsidRPr="000F7F70">
        <w:rPr>
          <w:b/>
          <w:i/>
          <w:u w:val="single"/>
        </w:rPr>
        <w:t xml:space="preserve">Planning Guidance </w:t>
      </w:r>
    </w:p>
    <w:p w14:paraId="5087B9B9" w14:textId="77777777" w:rsidR="0001183F" w:rsidRDefault="0001183F" w:rsidP="00D4566D"/>
    <w:p w14:paraId="01ECCFB1" w14:textId="77777777" w:rsidR="00B91EAC" w:rsidRDefault="003B2EA7" w:rsidP="00D4566D">
      <w:r>
        <w:t xml:space="preserve">The Virginia State Medical Facilities Plan (SMFP) provides </w:t>
      </w:r>
      <w:r w:rsidR="00B91EAC">
        <w:t xml:space="preserve">direct </w:t>
      </w:r>
      <w:r>
        <w:t xml:space="preserve">guidance in determining the need for </w:t>
      </w:r>
      <w:r w:rsidR="00E4682E">
        <w:t>medical-surgical services and beds. The applicable plan sections read:</w:t>
      </w:r>
      <w:r>
        <w:t xml:space="preserve"> </w:t>
      </w:r>
    </w:p>
    <w:p w14:paraId="74E878D6" w14:textId="77777777" w:rsidR="00CE6703" w:rsidRDefault="00CE6703" w:rsidP="00D4566D"/>
    <w:p w14:paraId="1570AB26" w14:textId="77777777" w:rsidR="00CE6703" w:rsidRPr="00CE6703" w:rsidRDefault="00CE6703" w:rsidP="00CE6703">
      <w:pPr>
        <w:jc w:val="center"/>
        <w:rPr>
          <w:b/>
          <w:szCs w:val="22"/>
        </w:rPr>
      </w:pPr>
      <w:r w:rsidRPr="00CE6703">
        <w:rPr>
          <w:b/>
          <w:szCs w:val="22"/>
        </w:rPr>
        <w:t>Part VI</w:t>
      </w:r>
    </w:p>
    <w:p w14:paraId="1E628F86" w14:textId="77777777" w:rsidR="00CE6703" w:rsidRPr="00CE6703" w:rsidRDefault="00CE6703" w:rsidP="00CE6703">
      <w:pPr>
        <w:jc w:val="center"/>
        <w:rPr>
          <w:b/>
        </w:rPr>
      </w:pPr>
      <w:r w:rsidRPr="00CE6703">
        <w:rPr>
          <w:b/>
          <w:szCs w:val="22"/>
        </w:rPr>
        <w:t>Inpatient Bed Requirements</w:t>
      </w:r>
    </w:p>
    <w:p w14:paraId="4628BC6E" w14:textId="77777777" w:rsidR="00CE6703" w:rsidRDefault="00CE6703" w:rsidP="00D4566D"/>
    <w:p w14:paraId="23D19D02" w14:textId="77777777" w:rsidR="00CE6703" w:rsidRPr="00CE6703" w:rsidRDefault="00CE6703" w:rsidP="00CE6703">
      <w:pPr>
        <w:pStyle w:val="Default"/>
        <w:spacing w:before="60" w:after="60"/>
        <w:jc w:val="both"/>
        <w:rPr>
          <w:rFonts w:ascii="Times New Roman" w:hAnsi="Times New Roman" w:cs="Times New Roman"/>
          <w:sz w:val="22"/>
          <w:szCs w:val="22"/>
        </w:rPr>
      </w:pPr>
      <w:r w:rsidRPr="00CE6703">
        <w:rPr>
          <w:rFonts w:ascii="Times New Roman" w:hAnsi="Times New Roman" w:cs="Times New Roman"/>
          <w:b/>
          <w:bCs/>
          <w:sz w:val="22"/>
          <w:szCs w:val="22"/>
        </w:rPr>
        <w:t xml:space="preserve">12VAC5-230-520. Travel time. </w:t>
      </w:r>
    </w:p>
    <w:p w14:paraId="3B810F6C" w14:textId="77777777" w:rsidR="00CE6703" w:rsidRPr="008A4228" w:rsidRDefault="00CE6703" w:rsidP="008A4228">
      <w:pPr>
        <w:pStyle w:val="Default"/>
        <w:spacing w:before="60" w:after="60"/>
        <w:jc w:val="both"/>
        <w:rPr>
          <w:rFonts w:ascii="Times New Roman" w:hAnsi="Times New Roman" w:cs="Times New Roman"/>
          <w:i/>
          <w:sz w:val="22"/>
          <w:szCs w:val="22"/>
        </w:rPr>
      </w:pPr>
      <w:r w:rsidRPr="008A4228">
        <w:rPr>
          <w:rFonts w:ascii="Times New Roman" w:hAnsi="Times New Roman" w:cs="Times New Roman"/>
          <w:i/>
          <w:sz w:val="22"/>
          <w:szCs w:val="22"/>
        </w:rPr>
        <w:t xml:space="preserve">Inpatient beds should be within 30 </w:t>
      </w:r>
      <w:proofErr w:type="gramStart"/>
      <w:r w:rsidRPr="008A4228">
        <w:rPr>
          <w:rFonts w:ascii="Times New Roman" w:hAnsi="Times New Roman" w:cs="Times New Roman"/>
          <w:i/>
          <w:sz w:val="22"/>
          <w:szCs w:val="22"/>
        </w:rPr>
        <w:t>minutes</w:t>
      </w:r>
      <w:proofErr w:type="gramEnd"/>
      <w:r w:rsidRPr="008A4228">
        <w:rPr>
          <w:rFonts w:ascii="Times New Roman" w:hAnsi="Times New Roman" w:cs="Times New Roman"/>
          <w:i/>
          <w:sz w:val="22"/>
          <w:szCs w:val="22"/>
        </w:rPr>
        <w:t xml:space="preserve"> driving time one way under normal conditions of 95% of the population of a health planning district using a mapping software as determined by the commissioner. </w:t>
      </w:r>
    </w:p>
    <w:p w14:paraId="74907FA0" w14:textId="77777777" w:rsidR="00CE6703" w:rsidRPr="00CE6703" w:rsidRDefault="00CE6703" w:rsidP="00CE6703">
      <w:pPr>
        <w:pStyle w:val="Default"/>
        <w:spacing w:before="60" w:after="60"/>
        <w:jc w:val="both"/>
        <w:rPr>
          <w:rFonts w:ascii="Times New Roman" w:hAnsi="Times New Roman" w:cs="Times New Roman"/>
          <w:sz w:val="22"/>
          <w:szCs w:val="22"/>
        </w:rPr>
      </w:pPr>
      <w:r w:rsidRPr="00CE6703">
        <w:rPr>
          <w:rFonts w:ascii="Times New Roman" w:hAnsi="Times New Roman" w:cs="Times New Roman"/>
          <w:b/>
          <w:bCs/>
          <w:sz w:val="22"/>
          <w:szCs w:val="22"/>
        </w:rPr>
        <w:t xml:space="preserve">12VAC5-230-530. Need for new service. </w:t>
      </w:r>
    </w:p>
    <w:p w14:paraId="667D0A72" w14:textId="77777777" w:rsidR="00CE6703" w:rsidRPr="008A4228" w:rsidRDefault="008A4228" w:rsidP="008A4228">
      <w:pPr>
        <w:pStyle w:val="Default"/>
        <w:spacing w:before="60"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A. </w:t>
      </w:r>
      <w:r w:rsidR="00CE6703" w:rsidRPr="008A4228">
        <w:rPr>
          <w:rFonts w:ascii="Times New Roman" w:hAnsi="Times New Roman" w:cs="Times New Roman"/>
          <w:i/>
          <w:sz w:val="22"/>
          <w:szCs w:val="22"/>
        </w:rPr>
        <w:t xml:space="preserve">No new inpatient beds should be approved in any health planning district unless: </w:t>
      </w:r>
    </w:p>
    <w:p w14:paraId="660691DA" w14:textId="77777777" w:rsidR="008A4228" w:rsidRPr="008A4228" w:rsidRDefault="00CE6703" w:rsidP="008A4228">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1. The resulting number of beds for each bed category contained in this article does not exceed the number of beds projected to be needed for that health planning district for the fifth planning horizon year; and</w:t>
      </w:r>
    </w:p>
    <w:p w14:paraId="25163B41" w14:textId="77777777" w:rsidR="00CE6703" w:rsidRPr="008A4228" w:rsidRDefault="008A4228" w:rsidP="008A4228">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lastRenderedPageBreak/>
        <w:t xml:space="preserve">2. </w:t>
      </w:r>
      <w:r w:rsidR="00CE6703" w:rsidRPr="008A4228">
        <w:rPr>
          <w:rFonts w:ascii="Times New Roman" w:hAnsi="Times New Roman" w:cs="Times New Roman"/>
          <w:i/>
          <w:sz w:val="22"/>
          <w:szCs w:val="22"/>
        </w:rPr>
        <w:t xml:space="preserve">The average annual occupancy based on the number of beds in the health planning district for the relevant reporting period is: </w:t>
      </w:r>
    </w:p>
    <w:p w14:paraId="60EBE508"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a. 80% at midnight census for medical/surgical or pediatric </w:t>
      </w:r>
      <w:proofErr w:type="gramStart"/>
      <w:r w:rsidRPr="008A4228">
        <w:rPr>
          <w:rFonts w:ascii="Times New Roman" w:hAnsi="Times New Roman" w:cs="Times New Roman"/>
          <w:i/>
          <w:sz w:val="22"/>
          <w:szCs w:val="22"/>
        </w:rPr>
        <w:t>beds;</w:t>
      </w:r>
      <w:proofErr w:type="gramEnd"/>
      <w:r w:rsidRPr="008A4228">
        <w:rPr>
          <w:rFonts w:ascii="Times New Roman" w:hAnsi="Times New Roman" w:cs="Times New Roman"/>
          <w:i/>
          <w:sz w:val="22"/>
          <w:szCs w:val="22"/>
        </w:rPr>
        <w:t xml:space="preserve"> </w:t>
      </w:r>
    </w:p>
    <w:p w14:paraId="54BE5B7E"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b. 65% at midnight census for intensive care beds. </w:t>
      </w:r>
    </w:p>
    <w:p w14:paraId="25C8C6B8" w14:textId="77777777" w:rsidR="00CE6703" w:rsidRPr="008A4228" w:rsidRDefault="00CE6703" w:rsidP="00E4682E">
      <w:pPr>
        <w:pStyle w:val="Default"/>
        <w:spacing w:before="60"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B. For proposals to convert under-utilized beds that require a capital expenditure of $15 million or more, consideration may be given to such proposal if: </w:t>
      </w:r>
    </w:p>
    <w:p w14:paraId="227C416F"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1. There is a projected need in the applicable category of inpatient beds; and </w:t>
      </w:r>
    </w:p>
    <w:p w14:paraId="13E708D5"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2. The applicant can demonstrate that the average annual occupancy of the converted beds would meet the utilization standard for the applicable bed category by the first year of operation. </w:t>
      </w:r>
    </w:p>
    <w:p w14:paraId="214A8E20" w14:textId="77777777" w:rsidR="00CE6703" w:rsidRPr="008A4228" w:rsidRDefault="00CE6703" w:rsidP="00CE6703">
      <w:pPr>
        <w:rPr>
          <w:i/>
          <w:szCs w:val="22"/>
        </w:rPr>
      </w:pPr>
      <w:r w:rsidRPr="008A4228">
        <w:rPr>
          <w:i/>
          <w:szCs w:val="22"/>
        </w:rPr>
        <w:t>For the purposes of this part, "underutilized" means less than 80% avera</w:t>
      </w:r>
      <w:r w:rsidR="008A4228">
        <w:rPr>
          <w:i/>
          <w:szCs w:val="22"/>
        </w:rPr>
        <w:t>ge annual occupancy for medical-</w:t>
      </w:r>
      <w:r w:rsidRPr="008A4228">
        <w:rPr>
          <w:i/>
          <w:szCs w:val="22"/>
        </w:rPr>
        <w:t>surgical or pediatric beds, when the relocation involves such beds and less than 65% average annual occupancy for intensive care beds when relocation involves such beds.</w:t>
      </w:r>
    </w:p>
    <w:p w14:paraId="443B24B0" w14:textId="77777777" w:rsidR="00B91EAC" w:rsidRPr="008A4228" w:rsidRDefault="00B91EAC" w:rsidP="00D4566D">
      <w:pPr>
        <w:rPr>
          <w:i/>
          <w:szCs w:val="22"/>
        </w:rPr>
      </w:pPr>
    </w:p>
    <w:p w14:paraId="2BFB3D38" w14:textId="6B51AF32" w:rsidR="00CE6703" w:rsidRPr="00CE6703" w:rsidRDefault="00CE6703" w:rsidP="00CE6703">
      <w:pPr>
        <w:pStyle w:val="Default"/>
        <w:spacing w:before="60" w:after="60"/>
        <w:jc w:val="both"/>
        <w:rPr>
          <w:rFonts w:ascii="Times New Roman" w:hAnsi="Times New Roman" w:cs="Times New Roman"/>
          <w:sz w:val="22"/>
          <w:szCs w:val="22"/>
        </w:rPr>
      </w:pPr>
      <w:r w:rsidRPr="00CE6703">
        <w:rPr>
          <w:rFonts w:ascii="Times New Roman" w:hAnsi="Times New Roman" w:cs="Times New Roman"/>
          <w:b/>
          <w:bCs/>
          <w:sz w:val="22"/>
          <w:szCs w:val="22"/>
        </w:rPr>
        <w:t xml:space="preserve">12VAC5-230-540. Need for medical/surgical beds. </w:t>
      </w:r>
    </w:p>
    <w:p w14:paraId="6068598B" w14:textId="77777777" w:rsidR="00CE6703" w:rsidRPr="008A4228" w:rsidRDefault="008A4228" w:rsidP="008A4228">
      <w:pPr>
        <w:pStyle w:val="Default"/>
        <w:spacing w:before="60" w:after="60"/>
        <w:jc w:val="both"/>
        <w:rPr>
          <w:rFonts w:ascii="Times New Roman" w:hAnsi="Times New Roman" w:cs="Times New Roman"/>
          <w:i/>
          <w:sz w:val="22"/>
          <w:szCs w:val="22"/>
        </w:rPr>
      </w:pPr>
      <w:r w:rsidRPr="008A4228">
        <w:rPr>
          <w:rFonts w:ascii="Times New Roman" w:hAnsi="Times New Roman" w:cs="Times New Roman"/>
          <w:i/>
          <w:sz w:val="22"/>
          <w:szCs w:val="22"/>
        </w:rPr>
        <w:t>The number of medical-</w:t>
      </w:r>
      <w:r w:rsidR="00CE6703" w:rsidRPr="008A4228">
        <w:rPr>
          <w:rFonts w:ascii="Times New Roman" w:hAnsi="Times New Roman" w:cs="Times New Roman"/>
          <w:i/>
          <w:sz w:val="22"/>
          <w:szCs w:val="22"/>
        </w:rPr>
        <w:t xml:space="preserve">surgical beds projected to be needed in a health planning district shall be computed as follows: </w:t>
      </w:r>
    </w:p>
    <w:p w14:paraId="1E401F49"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1. Determine the use rate for the medical/surgical beds for the health planning district using the formula: </w:t>
      </w:r>
    </w:p>
    <w:p w14:paraId="1CFCFBAE" w14:textId="77777777" w:rsidR="00CE6703" w:rsidRPr="008A4228" w:rsidRDefault="00CE6703" w:rsidP="00CE6703">
      <w:pPr>
        <w:pStyle w:val="Default"/>
        <w:spacing w:after="60"/>
        <w:ind w:left="720"/>
        <w:jc w:val="center"/>
        <w:rPr>
          <w:rFonts w:ascii="Times New Roman" w:hAnsi="Times New Roman" w:cs="Times New Roman"/>
          <w:i/>
          <w:sz w:val="22"/>
          <w:szCs w:val="22"/>
        </w:rPr>
      </w:pPr>
      <w:r w:rsidRPr="008A4228">
        <w:rPr>
          <w:rFonts w:ascii="Times New Roman" w:hAnsi="Times New Roman" w:cs="Times New Roman"/>
          <w:i/>
          <w:sz w:val="22"/>
          <w:szCs w:val="22"/>
        </w:rPr>
        <w:t xml:space="preserve">   BUR = (IPD/Pop) Virginia Department of Health Office of Licensure and Certification where: </w:t>
      </w:r>
    </w:p>
    <w:p w14:paraId="304FF29E"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BUR = the bed use rate for the health planning district. </w:t>
      </w:r>
    </w:p>
    <w:p w14:paraId="061B57EA"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IPD = the sum of total inpatient days in the health planning district for the most recent five years for which inpatient day data has been reported by VHI; and </w:t>
      </w:r>
    </w:p>
    <w:p w14:paraId="62086E8B"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Pop = the </w:t>
      </w:r>
      <w:proofErr w:type="gramStart"/>
      <w:r w:rsidRPr="008A4228">
        <w:rPr>
          <w:rFonts w:ascii="Times New Roman" w:hAnsi="Times New Roman" w:cs="Times New Roman"/>
          <w:i/>
          <w:sz w:val="22"/>
          <w:szCs w:val="22"/>
        </w:rPr>
        <w:t>sum of total</w:t>
      </w:r>
      <w:proofErr w:type="gramEnd"/>
      <w:r w:rsidRPr="008A4228">
        <w:rPr>
          <w:rFonts w:ascii="Times New Roman" w:hAnsi="Times New Roman" w:cs="Times New Roman"/>
          <w:i/>
          <w:sz w:val="22"/>
          <w:szCs w:val="22"/>
        </w:rPr>
        <w:t xml:space="preserve"> population 18 years of age and older in the health planning district for the same five years used to determine IPD as reported by a demographic program as determined by the commissioner. </w:t>
      </w:r>
    </w:p>
    <w:p w14:paraId="7885AFB9"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CE6703">
        <w:rPr>
          <w:rFonts w:ascii="Times New Roman" w:hAnsi="Times New Roman" w:cs="Times New Roman"/>
          <w:sz w:val="22"/>
          <w:szCs w:val="22"/>
        </w:rPr>
        <w:t xml:space="preserve">2. </w:t>
      </w:r>
      <w:r w:rsidRPr="008A4228">
        <w:rPr>
          <w:rFonts w:ascii="Times New Roman" w:hAnsi="Times New Roman" w:cs="Times New Roman"/>
          <w:i/>
          <w:sz w:val="22"/>
          <w:szCs w:val="22"/>
        </w:rPr>
        <w:t xml:space="preserve">Determine the total number of medical/surgical beds needed for the health planning district in five years from the current year using the formula: </w:t>
      </w:r>
    </w:p>
    <w:p w14:paraId="3BB33542" w14:textId="77777777" w:rsidR="00CE6703" w:rsidRPr="008A4228" w:rsidRDefault="00CE6703" w:rsidP="00CE6703">
      <w:pPr>
        <w:pStyle w:val="Default"/>
        <w:spacing w:after="60"/>
        <w:ind w:left="720"/>
        <w:jc w:val="center"/>
        <w:rPr>
          <w:rFonts w:ascii="Times New Roman" w:hAnsi="Times New Roman" w:cs="Times New Roman"/>
          <w:i/>
          <w:sz w:val="22"/>
          <w:szCs w:val="22"/>
        </w:rPr>
      </w:pPr>
      <w:r w:rsidRPr="008A4228">
        <w:rPr>
          <w:rFonts w:ascii="Times New Roman" w:hAnsi="Times New Roman" w:cs="Times New Roman"/>
          <w:i/>
          <w:sz w:val="22"/>
          <w:szCs w:val="22"/>
        </w:rPr>
        <w:t xml:space="preserve">Pro Bed = ((BUR x Pro Pop)/365)/0.80 </w:t>
      </w:r>
    </w:p>
    <w:p w14:paraId="650EF1ED"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Where: </w:t>
      </w:r>
    </w:p>
    <w:p w14:paraId="0963FFD8" w14:textId="77777777" w:rsidR="00CE6703" w:rsidRPr="008A4228" w:rsidRDefault="00CE6703" w:rsidP="00CE6703">
      <w:pPr>
        <w:pStyle w:val="Default"/>
        <w:spacing w:after="60"/>
        <w:ind w:left="1080"/>
        <w:jc w:val="both"/>
        <w:rPr>
          <w:rFonts w:ascii="Times New Roman" w:hAnsi="Times New Roman" w:cs="Times New Roman"/>
          <w:i/>
          <w:sz w:val="22"/>
          <w:szCs w:val="22"/>
        </w:rPr>
      </w:pPr>
      <w:proofErr w:type="spellStart"/>
      <w:r w:rsidRPr="008A4228">
        <w:rPr>
          <w:rFonts w:ascii="Times New Roman" w:hAnsi="Times New Roman" w:cs="Times New Roman"/>
          <w:i/>
          <w:sz w:val="22"/>
          <w:szCs w:val="22"/>
        </w:rPr>
        <w:t>ProBed</w:t>
      </w:r>
      <w:proofErr w:type="spellEnd"/>
      <w:r w:rsidRPr="008A4228">
        <w:rPr>
          <w:rFonts w:ascii="Times New Roman" w:hAnsi="Times New Roman" w:cs="Times New Roman"/>
          <w:i/>
          <w:sz w:val="22"/>
          <w:szCs w:val="22"/>
        </w:rPr>
        <w:t xml:space="preserve"> = The projected number of medical/surgical beds needed in the health planning district for five years from the current year. </w:t>
      </w:r>
    </w:p>
    <w:p w14:paraId="5C5AC6C7"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BUR = the bed use rate for the health planning district determined in subdivision 1 of this section. </w:t>
      </w:r>
    </w:p>
    <w:p w14:paraId="21889ACF" w14:textId="77777777" w:rsidR="00CE6703" w:rsidRDefault="00CE6703" w:rsidP="00CE6703">
      <w:pPr>
        <w:pStyle w:val="Default"/>
        <w:spacing w:after="60"/>
        <w:ind w:left="1080"/>
        <w:jc w:val="both"/>
        <w:rPr>
          <w:rFonts w:ascii="Times New Roman" w:hAnsi="Times New Roman" w:cs="Times New Roman"/>
          <w:i/>
          <w:sz w:val="22"/>
          <w:szCs w:val="22"/>
        </w:rPr>
      </w:pPr>
      <w:proofErr w:type="spellStart"/>
      <w:r w:rsidRPr="008A4228">
        <w:rPr>
          <w:rFonts w:ascii="Times New Roman" w:hAnsi="Times New Roman" w:cs="Times New Roman"/>
          <w:i/>
          <w:sz w:val="22"/>
          <w:szCs w:val="22"/>
        </w:rPr>
        <w:t>ProPop</w:t>
      </w:r>
      <w:proofErr w:type="spellEnd"/>
      <w:r w:rsidRPr="008A4228">
        <w:rPr>
          <w:rFonts w:ascii="Times New Roman" w:hAnsi="Times New Roman" w:cs="Times New Roman"/>
          <w:i/>
          <w:sz w:val="22"/>
          <w:szCs w:val="22"/>
        </w:rPr>
        <w:t xml:space="preserve"> = the projected population 18 years of age and older of the health planning district five years from the current year as reported by a demographic program as determined by the commissioner. </w:t>
      </w:r>
    </w:p>
    <w:p w14:paraId="416FCFC2" w14:textId="77777777" w:rsidR="005B569F" w:rsidRPr="008A4228" w:rsidRDefault="005B569F" w:rsidP="00CE6703">
      <w:pPr>
        <w:pStyle w:val="Default"/>
        <w:spacing w:after="60"/>
        <w:ind w:left="1080"/>
        <w:jc w:val="both"/>
        <w:rPr>
          <w:rFonts w:ascii="Times New Roman" w:hAnsi="Times New Roman" w:cs="Times New Roman"/>
          <w:i/>
          <w:sz w:val="22"/>
          <w:szCs w:val="22"/>
        </w:rPr>
      </w:pPr>
    </w:p>
    <w:p w14:paraId="10A7BADD"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lastRenderedPageBreak/>
        <w:t xml:space="preserve">3. Determine the number of medical/surgical beds that are needed in the health planning district for the five planning horizon years as follows: </w:t>
      </w:r>
    </w:p>
    <w:p w14:paraId="0DB86497" w14:textId="77777777" w:rsidR="00CE6703" w:rsidRPr="008A4228" w:rsidRDefault="00CE6703" w:rsidP="00CE6703">
      <w:pPr>
        <w:pStyle w:val="Default"/>
        <w:spacing w:after="60"/>
        <w:ind w:left="720"/>
        <w:jc w:val="center"/>
        <w:rPr>
          <w:rFonts w:ascii="Times New Roman" w:hAnsi="Times New Roman" w:cs="Times New Roman"/>
          <w:i/>
          <w:sz w:val="22"/>
          <w:szCs w:val="22"/>
        </w:rPr>
      </w:pPr>
      <w:r w:rsidRPr="008A4228">
        <w:rPr>
          <w:rFonts w:ascii="Times New Roman" w:hAnsi="Times New Roman" w:cs="Times New Roman"/>
          <w:i/>
          <w:sz w:val="22"/>
          <w:szCs w:val="22"/>
        </w:rPr>
        <w:t xml:space="preserve">New Bed = Pro Bed – Current Bed </w:t>
      </w:r>
    </w:p>
    <w:p w14:paraId="75F7A016" w14:textId="77777777" w:rsidR="00CE6703" w:rsidRPr="008A4228" w:rsidRDefault="00CE6703" w:rsidP="00CE6703">
      <w:pPr>
        <w:pStyle w:val="Default"/>
        <w:spacing w:after="60"/>
        <w:ind w:left="720"/>
        <w:jc w:val="both"/>
        <w:rPr>
          <w:rFonts w:ascii="Times New Roman" w:hAnsi="Times New Roman" w:cs="Times New Roman"/>
          <w:i/>
          <w:sz w:val="22"/>
          <w:szCs w:val="22"/>
        </w:rPr>
      </w:pPr>
      <w:r w:rsidRPr="008A4228">
        <w:rPr>
          <w:rFonts w:ascii="Times New Roman" w:hAnsi="Times New Roman" w:cs="Times New Roman"/>
          <w:i/>
          <w:sz w:val="22"/>
          <w:szCs w:val="22"/>
        </w:rPr>
        <w:t xml:space="preserve">Where: </w:t>
      </w:r>
    </w:p>
    <w:p w14:paraId="37C564C7"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New Bed = the number of new medical/surgical beds that can be established in a health planning district, if the number is positive. If New Bed is a negative number, no additional medical/surgical beds should be authorized for the health planning district. </w:t>
      </w:r>
    </w:p>
    <w:p w14:paraId="2AB7F8A4" w14:textId="77777777" w:rsidR="00CE6703" w:rsidRPr="008A4228"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Pro Bed = the projected number of medical/surgical beds needed in the health planning district for five years from the current year determined in subdivision 2 of this section. </w:t>
      </w:r>
    </w:p>
    <w:p w14:paraId="6ECA76F4" w14:textId="77777777" w:rsidR="00CE6703" w:rsidRDefault="00CE6703" w:rsidP="00CE6703">
      <w:pPr>
        <w:pStyle w:val="Default"/>
        <w:spacing w:after="60"/>
        <w:ind w:left="1080"/>
        <w:jc w:val="both"/>
        <w:rPr>
          <w:rFonts w:ascii="Times New Roman" w:hAnsi="Times New Roman" w:cs="Times New Roman"/>
          <w:i/>
          <w:sz w:val="22"/>
          <w:szCs w:val="22"/>
        </w:rPr>
      </w:pPr>
      <w:r w:rsidRPr="008A4228">
        <w:rPr>
          <w:rFonts w:ascii="Times New Roman" w:hAnsi="Times New Roman" w:cs="Times New Roman"/>
          <w:i/>
          <w:sz w:val="22"/>
          <w:szCs w:val="22"/>
        </w:rPr>
        <w:t xml:space="preserve">Current Bed = the current inventory of licensed and authorized medical/surgical beds in the health planning district. </w:t>
      </w:r>
    </w:p>
    <w:p w14:paraId="68426480" w14:textId="77777777" w:rsidR="00CA19E3" w:rsidRDefault="00CA19E3" w:rsidP="00CA19E3">
      <w:pPr>
        <w:pStyle w:val="Default"/>
        <w:spacing w:after="60"/>
        <w:jc w:val="both"/>
        <w:rPr>
          <w:rFonts w:ascii="Times New Roman" w:hAnsi="Times New Roman" w:cs="Times New Roman"/>
          <w:sz w:val="22"/>
          <w:szCs w:val="22"/>
        </w:rPr>
      </w:pPr>
    </w:p>
    <w:p w14:paraId="56167810" w14:textId="6C1245A9" w:rsidR="00CE6703" w:rsidRPr="00CE6703" w:rsidRDefault="009F0018" w:rsidP="00CA19E3">
      <w:pPr>
        <w:pStyle w:val="Default"/>
        <w:spacing w:after="60"/>
        <w:jc w:val="both"/>
        <w:rPr>
          <w:rFonts w:ascii="Times New Roman" w:hAnsi="Times New Roman" w:cs="Times New Roman"/>
          <w:sz w:val="22"/>
          <w:szCs w:val="22"/>
        </w:rPr>
      </w:pPr>
      <w:r>
        <w:rPr>
          <w:rFonts w:ascii="Times New Roman" w:hAnsi="Times New Roman" w:cs="Times New Roman"/>
          <w:sz w:val="22"/>
          <w:szCs w:val="22"/>
        </w:rPr>
        <w:t xml:space="preserve">The </w:t>
      </w:r>
      <w:r w:rsidR="00796814" w:rsidRPr="00796814">
        <w:rPr>
          <w:rFonts w:ascii="Times New Roman" w:hAnsi="Times New Roman" w:cs="Times New Roman"/>
          <w:sz w:val="22"/>
          <w:szCs w:val="22"/>
        </w:rPr>
        <w:t xml:space="preserve">proposal </w:t>
      </w:r>
      <w:r>
        <w:rPr>
          <w:rFonts w:ascii="Times New Roman" w:hAnsi="Times New Roman" w:cs="Times New Roman"/>
          <w:sz w:val="22"/>
          <w:szCs w:val="22"/>
        </w:rPr>
        <w:t xml:space="preserve">does not </w:t>
      </w:r>
      <w:r w:rsidR="00796814" w:rsidRPr="00796814">
        <w:rPr>
          <w:rFonts w:ascii="Times New Roman" w:hAnsi="Times New Roman" w:cs="Times New Roman"/>
          <w:sz w:val="22"/>
          <w:szCs w:val="22"/>
        </w:rPr>
        <w:t>qualif</w:t>
      </w:r>
      <w:r>
        <w:rPr>
          <w:rFonts w:ascii="Times New Roman" w:hAnsi="Times New Roman" w:cs="Times New Roman"/>
          <w:sz w:val="22"/>
          <w:szCs w:val="22"/>
        </w:rPr>
        <w:t>y</w:t>
      </w:r>
      <w:r w:rsidR="00796814" w:rsidRPr="00796814">
        <w:rPr>
          <w:rFonts w:ascii="Times New Roman" w:hAnsi="Times New Roman" w:cs="Times New Roman"/>
          <w:sz w:val="22"/>
          <w:szCs w:val="22"/>
        </w:rPr>
        <w:t xml:space="preserve"> for consideration to expand </w:t>
      </w:r>
      <w:r w:rsidR="00796814">
        <w:rPr>
          <w:rFonts w:ascii="Times New Roman" w:hAnsi="Times New Roman" w:cs="Times New Roman"/>
          <w:sz w:val="22"/>
          <w:szCs w:val="22"/>
        </w:rPr>
        <w:t>un</w:t>
      </w:r>
      <w:r w:rsidR="00796814" w:rsidRPr="00796814">
        <w:rPr>
          <w:rFonts w:ascii="Times New Roman" w:hAnsi="Times New Roman" w:cs="Times New Roman"/>
          <w:sz w:val="22"/>
          <w:szCs w:val="22"/>
        </w:rPr>
        <w:t>der this provision</w:t>
      </w:r>
      <w:r w:rsidR="00796814">
        <w:rPr>
          <w:rFonts w:ascii="Times New Roman" w:hAnsi="Times New Roman" w:cs="Times New Roman"/>
          <w:sz w:val="22"/>
          <w:szCs w:val="22"/>
        </w:rPr>
        <w:t>. Inova acknowledge</w:t>
      </w:r>
      <w:r w:rsidR="00CE0980">
        <w:rPr>
          <w:rFonts w:ascii="Times New Roman" w:hAnsi="Times New Roman" w:cs="Times New Roman"/>
          <w:sz w:val="22"/>
          <w:szCs w:val="22"/>
        </w:rPr>
        <w:t>s</w:t>
      </w:r>
      <w:r w:rsidR="00796814">
        <w:rPr>
          <w:rFonts w:ascii="Times New Roman" w:hAnsi="Times New Roman" w:cs="Times New Roman"/>
          <w:sz w:val="22"/>
          <w:szCs w:val="22"/>
        </w:rPr>
        <w:t xml:space="preserve"> that there are substantial numbers of unused beds in the region and, hence,</w:t>
      </w:r>
      <w:r w:rsidR="00AF1CAB">
        <w:rPr>
          <w:rFonts w:ascii="Times New Roman" w:hAnsi="Times New Roman" w:cs="Times New Roman"/>
          <w:sz w:val="22"/>
          <w:szCs w:val="22"/>
        </w:rPr>
        <w:t xml:space="preserve"> no region wide need for additional medical-surgical beds.</w:t>
      </w:r>
    </w:p>
    <w:p w14:paraId="3708D76D" w14:textId="77777777" w:rsidR="00CA19E3" w:rsidRDefault="00CA19E3" w:rsidP="00D4566D"/>
    <w:p w14:paraId="693D53BA" w14:textId="531B43C1" w:rsidR="003B2EA7" w:rsidRDefault="009F0018" w:rsidP="00D4566D">
      <w:r>
        <w:t xml:space="preserve">Inova </w:t>
      </w:r>
      <w:r w:rsidR="00AF1CAB">
        <w:t>assert</w:t>
      </w:r>
      <w:r w:rsidR="004302F5">
        <w:t>s</w:t>
      </w:r>
      <w:r w:rsidR="00AF1CAB">
        <w:t xml:space="preserve"> an </w:t>
      </w:r>
      <w:r w:rsidR="00AF1CAB" w:rsidRPr="00FB26B2">
        <w:rPr>
          <w:i/>
        </w:rPr>
        <w:t>institution specific need</w:t>
      </w:r>
      <w:r w:rsidR="00AF1CAB">
        <w:t xml:space="preserve"> for additional </w:t>
      </w:r>
      <w:r w:rsidR="00561A46">
        <w:t>capacity</w:t>
      </w:r>
      <w:r w:rsidR="00AF1CAB">
        <w:t xml:space="preserve">. </w:t>
      </w:r>
      <w:r w:rsidR="008A4228">
        <w:t>T</w:t>
      </w:r>
      <w:r w:rsidR="003B2EA7">
        <w:t xml:space="preserve">he Virginia SMFP </w:t>
      </w:r>
      <w:r w:rsidR="00CA19E3">
        <w:t>provides general</w:t>
      </w:r>
      <w:r w:rsidR="003B2EA7">
        <w:t xml:space="preserve"> guidance in assessing the need for</w:t>
      </w:r>
      <w:r w:rsidR="00CA19E3">
        <w:t xml:space="preserve"> “institutional expansion”</w:t>
      </w:r>
      <w:r w:rsidR="00F91794">
        <w:t xml:space="preserve"> absent a </w:t>
      </w:r>
      <w:r w:rsidR="002E73CC">
        <w:t>general</w:t>
      </w:r>
      <w:r w:rsidR="00F91794">
        <w:t xml:space="preserve"> </w:t>
      </w:r>
      <w:r w:rsidR="00535198">
        <w:t>regional</w:t>
      </w:r>
      <w:r w:rsidR="002E73CC">
        <w:t xml:space="preserve"> need for additional capacity</w:t>
      </w:r>
      <w:r w:rsidR="003B2EA7">
        <w:t xml:space="preserve">: </w:t>
      </w:r>
    </w:p>
    <w:p w14:paraId="70C1EC52" w14:textId="77777777" w:rsidR="00D82CD8" w:rsidRDefault="00D82CD8" w:rsidP="00D4566D"/>
    <w:p w14:paraId="5A93F941" w14:textId="77777777" w:rsidR="003B2EA7" w:rsidRPr="00C5784C" w:rsidRDefault="00D82CD8" w:rsidP="00D82CD8">
      <w:pPr>
        <w:ind w:firstLine="720"/>
        <w:rPr>
          <w:szCs w:val="22"/>
        </w:rPr>
      </w:pPr>
      <w:r w:rsidRPr="00C5784C">
        <w:rPr>
          <w:b/>
          <w:szCs w:val="22"/>
        </w:rPr>
        <w:t xml:space="preserve">“12VAC5-230-80. When institutional expansion </w:t>
      </w:r>
      <w:proofErr w:type="gramStart"/>
      <w:r w:rsidRPr="00C5784C">
        <w:rPr>
          <w:b/>
          <w:szCs w:val="22"/>
        </w:rPr>
        <w:t>needed</w:t>
      </w:r>
      <w:proofErr w:type="gramEnd"/>
      <w:r w:rsidRPr="00C5784C">
        <w:rPr>
          <w:szCs w:val="22"/>
        </w:rPr>
        <w:t>.</w:t>
      </w:r>
    </w:p>
    <w:p w14:paraId="79CE0901" w14:textId="77777777" w:rsidR="00D82CD8" w:rsidRPr="00C5784C" w:rsidRDefault="00D82CD8" w:rsidP="00D82CD8">
      <w:pPr>
        <w:ind w:firstLine="720"/>
        <w:rPr>
          <w:szCs w:val="22"/>
        </w:rPr>
      </w:pPr>
    </w:p>
    <w:p w14:paraId="703C55C2" w14:textId="77777777" w:rsidR="003F70FB" w:rsidRPr="008A4228" w:rsidRDefault="003B2EA7" w:rsidP="003F70FB">
      <w:pPr>
        <w:pStyle w:val="ListParagraph"/>
        <w:numPr>
          <w:ilvl w:val="0"/>
          <w:numId w:val="14"/>
        </w:numPr>
        <w:ind w:right="1008"/>
        <w:rPr>
          <w:b/>
          <w:i/>
          <w:szCs w:val="22"/>
        </w:rPr>
      </w:pPr>
      <w:r w:rsidRPr="008A4228">
        <w:rPr>
          <w:i/>
          <w:szCs w:val="22"/>
        </w:rPr>
        <w:t>Notwithstanding any other provisions of this chapter, the commissioner may grant approval for the expansion of services at an existing medical care facility in a health planning district with an excess supply of such services when the proposed expansion can be justified on the basis of a facility's need having exceeded its current service capacity to provide such service or on the geograp</w:t>
      </w:r>
      <w:r w:rsidR="003F70FB" w:rsidRPr="008A4228">
        <w:rPr>
          <w:i/>
          <w:szCs w:val="22"/>
        </w:rPr>
        <w:t>hic remoteness of the facility.</w:t>
      </w:r>
      <w:r w:rsidRPr="008A4228">
        <w:rPr>
          <w:b/>
          <w:i/>
          <w:szCs w:val="22"/>
        </w:rPr>
        <w:t xml:space="preserve"> </w:t>
      </w:r>
    </w:p>
    <w:p w14:paraId="55B2F0FB" w14:textId="77777777" w:rsidR="003F70FB" w:rsidRPr="008A4228" w:rsidRDefault="003F70FB" w:rsidP="00D4566D">
      <w:pPr>
        <w:ind w:left="1008" w:right="1008"/>
        <w:rPr>
          <w:b/>
          <w:i/>
          <w:szCs w:val="22"/>
        </w:rPr>
      </w:pPr>
    </w:p>
    <w:p w14:paraId="4CD3B09D" w14:textId="77777777" w:rsidR="00C5784C" w:rsidRPr="008A4228" w:rsidRDefault="003F70FB" w:rsidP="003F70FB">
      <w:pPr>
        <w:pStyle w:val="ListParagraph"/>
        <w:numPr>
          <w:ilvl w:val="0"/>
          <w:numId w:val="14"/>
        </w:numPr>
        <w:ind w:right="1008"/>
        <w:rPr>
          <w:b/>
          <w:i/>
          <w:szCs w:val="22"/>
        </w:rPr>
      </w:pPr>
      <w:r w:rsidRPr="008A4228">
        <w:rPr>
          <w:i/>
          <w:szCs w:val="22"/>
        </w:rPr>
        <w:t>If a facility with an institutional need to expand is part of a health system, the underutilized services at other facilities within the health system should be reallocated, when appropriate, to the facility with the institutional need to expand before additional services are approved for the applicant. However, underutilized services located at a health system's geographically remote facility may be disregarded when determining institutional need for the proposed project</w:t>
      </w:r>
      <w:r w:rsidRPr="008A4228">
        <w:rPr>
          <w:b/>
          <w:i/>
          <w:szCs w:val="22"/>
        </w:rPr>
        <w:t>.</w:t>
      </w:r>
      <w:r w:rsidR="00D82CD8" w:rsidRPr="008A4228">
        <w:rPr>
          <w:b/>
          <w:i/>
          <w:szCs w:val="22"/>
        </w:rPr>
        <w:t>”</w:t>
      </w:r>
      <w:r w:rsidRPr="008A4228">
        <w:rPr>
          <w:b/>
          <w:i/>
          <w:szCs w:val="22"/>
        </w:rPr>
        <w:t xml:space="preserve">    </w:t>
      </w:r>
    </w:p>
    <w:p w14:paraId="702B524C" w14:textId="77777777" w:rsidR="003F70FB" w:rsidRPr="00561A46" w:rsidRDefault="003F70FB" w:rsidP="00C5784C">
      <w:pPr>
        <w:pStyle w:val="ListParagraph"/>
        <w:ind w:left="1413" w:right="1008"/>
        <w:rPr>
          <w:b/>
          <w:sz w:val="18"/>
          <w:szCs w:val="18"/>
        </w:rPr>
      </w:pPr>
      <w:r w:rsidRPr="00561A46">
        <w:rPr>
          <w:b/>
          <w:sz w:val="18"/>
          <w:szCs w:val="18"/>
        </w:rPr>
        <w:t>Subsection 12 VAC 5-230-80, p</w:t>
      </w:r>
      <w:r w:rsidR="00D82CD8" w:rsidRPr="00561A46">
        <w:rPr>
          <w:b/>
          <w:sz w:val="18"/>
          <w:szCs w:val="18"/>
        </w:rPr>
        <w:t>p. 7-8</w:t>
      </w:r>
      <w:r w:rsidRPr="00561A46">
        <w:rPr>
          <w:b/>
          <w:sz w:val="18"/>
          <w:szCs w:val="18"/>
        </w:rPr>
        <w:t xml:space="preserve">, Virginia </w:t>
      </w:r>
      <w:r w:rsidR="00D82CD8" w:rsidRPr="00561A46">
        <w:rPr>
          <w:b/>
          <w:sz w:val="18"/>
          <w:szCs w:val="18"/>
        </w:rPr>
        <w:t>SMFP</w:t>
      </w:r>
    </w:p>
    <w:p w14:paraId="49011097" w14:textId="77777777" w:rsidR="00DC68D2" w:rsidRPr="00561A46" w:rsidRDefault="00DC68D2" w:rsidP="00D4566D">
      <w:pPr>
        <w:rPr>
          <w:sz w:val="18"/>
          <w:szCs w:val="18"/>
        </w:rPr>
      </w:pPr>
    </w:p>
    <w:p w14:paraId="10FAEC76" w14:textId="6B9D8D2A" w:rsidR="005B569F" w:rsidRDefault="000F0F76" w:rsidP="00D4566D">
      <w:pPr>
        <w:rPr>
          <w:color w:val="000000" w:themeColor="text1"/>
        </w:rPr>
      </w:pPr>
      <w:r w:rsidRPr="00B9415E">
        <w:t>Inova argue</w:t>
      </w:r>
      <w:r w:rsidR="002E73CC" w:rsidRPr="00B9415E">
        <w:t>s</w:t>
      </w:r>
      <w:r w:rsidRPr="00B9415E">
        <w:t xml:space="preserve"> that </w:t>
      </w:r>
      <w:r w:rsidR="002E74A7" w:rsidRPr="00B9415E">
        <w:t>its</w:t>
      </w:r>
      <w:r w:rsidRPr="00B9415E">
        <w:t xml:space="preserve"> proposal qualif</w:t>
      </w:r>
      <w:r w:rsidR="002E74A7" w:rsidRPr="00B9415E">
        <w:t>ies</w:t>
      </w:r>
      <w:r w:rsidRPr="00B9415E">
        <w:t xml:space="preserve"> for approval under </w:t>
      </w:r>
      <w:r w:rsidRPr="00B9415E">
        <w:rPr>
          <w:color w:val="000000" w:themeColor="text1"/>
        </w:rPr>
        <w:t xml:space="preserve">Section 12VAC5-230-80(A), that </w:t>
      </w:r>
      <w:r w:rsidR="00552D13" w:rsidRPr="00B9415E">
        <w:rPr>
          <w:color w:val="000000" w:themeColor="text1"/>
        </w:rPr>
        <w:t xml:space="preserve">current service volumes exceed </w:t>
      </w:r>
      <w:r w:rsidR="007F53B2" w:rsidRPr="00B9415E">
        <w:rPr>
          <w:color w:val="000000" w:themeColor="text1"/>
        </w:rPr>
        <w:t xml:space="preserve">service volume planning </w:t>
      </w:r>
      <w:r w:rsidR="00B9415E" w:rsidRPr="00B9415E">
        <w:rPr>
          <w:color w:val="000000" w:themeColor="text1"/>
        </w:rPr>
        <w:t>standards,</w:t>
      </w:r>
      <w:r w:rsidR="007F53B2" w:rsidRPr="00B9415E">
        <w:rPr>
          <w:color w:val="000000" w:themeColor="text1"/>
        </w:rPr>
        <w:t xml:space="preserve"> and </w:t>
      </w:r>
      <w:r w:rsidR="00FB26B2" w:rsidRPr="00B9415E">
        <w:rPr>
          <w:color w:val="000000" w:themeColor="text1"/>
        </w:rPr>
        <w:t>th</w:t>
      </w:r>
      <w:r w:rsidR="00B9415E" w:rsidRPr="00B9415E">
        <w:rPr>
          <w:color w:val="000000" w:themeColor="text1"/>
        </w:rPr>
        <w:t xml:space="preserve">at demand </w:t>
      </w:r>
      <w:r w:rsidR="0039788D" w:rsidRPr="00B9415E">
        <w:rPr>
          <w:color w:val="000000" w:themeColor="text1"/>
        </w:rPr>
        <w:t xml:space="preserve">will </w:t>
      </w:r>
      <w:r w:rsidR="00841715" w:rsidRPr="00B9415E">
        <w:rPr>
          <w:color w:val="000000" w:themeColor="text1"/>
        </w:rPr>
        <w:t>exceed</w:t>
      </w:r>
      <w:r w:rsidR="00514C51">
        <w:rPr>
          <w:color w:val="000000" w:themeColor="text1"/>
        </w:rPr>
        <w:t xml:space="preserve"> </w:t>
      </w:r>
      <w:r w:rsidRPr="00B9415E">
        <w:rPr>
          <w:color w:val="000000" w:themeColor="text1"/>
        </w:rPr>
        <w:t>capacity by the time the additional beds can be placed in service.</w:t>
      </w:r>
    </w:p>
    <w:p w14:paraId="48E648BF" w14:textId="7982260E" w:rsidR="000F0F76" w:rsidRDefault="000F0F76" w:rsidP="00D4566D">
      <w:pPr>
        <w:rPr>
          <w:color w:val="000000" w:themeColor="text1"/>
        </w:rPr>
      </w:pPr>
      <w:r>
        <w:rPr>
          <w:color w:val="000000" w:themeColor="text1"/>
        </w:rPr>
        <w:t xml:space="preserve"> </w:t>
      </w:r>
    </w:p>
    <w:p w14:paraId="4581A3B3" w14:textId="77777777" w:rsidR="000F0F76" w:rsidRDefault="000F0F76" w:rsidP="00D4566D">
      <w:pPr>
        <w:rPr>
          <w:color w:val="000000" w:themeColor="text1"/>
        </w:rPr>
      </w:pPr>
    </w:p>
    <w:p w14:paraId="2149AC02" w14:textId="5710EEFA" w:rsidR="0030713B" w:rsidRPr="00EE27BF" w:rsidRDefault="00A32E03" w:rsidP="00244659">
      <w:pPr>
        <w:rPr>
          <w:bCs/>
        </w:rPr>
      </w:pPr>
      <w:r w:rsidRPr="00EE27BF">
        <w:rPr>
          <w:bCs/>
        </w:rPr>
        <w:lastRenderedPageBreak/>
        <w:t xml:space="preserve">The proposal appears to </w:t>
      </w:r>
      <w:r w:rsidR="002A421D" w:rsidRPr="00EE27BF">
        <w:rPr>
          <w:bCs/>
        </w:rPr>
        <w:t xml:space="preserve">be fully consistent with </w:t>
      </w:r>
      <w:r w:rsidR="000F0F76" w:rsidRPr="00EE27BF">
        <w:rPr>
          <w:bCs/>
        </w:rPr>
        <w:t xml:space="preserve">Section </w:t>
      </w:r>
      <w:r w:rsidR="00461CF8" w:rsidRPr="00EE27BF">
        <w:rPr>
          <w:bCs/>
          <w:color w:val="000000" w:themeColor="text1"/>
        </w:rPr>
        <w:t>12VAC5-230-80</w:t>
      </w:r>
      <w:r w:rsidR="00640724" w:rsidRPr="00EE27BF">
        <w:rPr>
          <w:bCs/>
          <w:color w:val="000000" w:themeColor="text1"/>
        </w:rPr>
        <w:t xml:space="preserve">. </w:t>
      </w:r>
      <w:r w:rsidR="00461CF8" w:rsidRPr="00EE27BF">
        <w:rPr>
          <w:bCs/>
        </w:rPr>
        <w:t>Inova</w:t>
      </w:r>
      <w:r w:rsidR="00C51E0C" w:rsidRPr="00EE27BF">
        <w:rPr>
          <w:bCs/>
        </w:rPr>
        <w:t xml:space="preserve"> </w:t>
      </w:r>
      <w:r w:rsidR="00702D45" w:rsidRPr="00EE27BF">
        <w:rPr>
          <w:bCs/>
        </w:rPr>
        <w:t>make</w:t>
      </w:r>
      <w:r w:rsidR="00597A93" w:rsidRPr="00EE27BF">
        <w:rPr>
          <w:bCs/>
        </w:rPr>
        <w:t>s a</w:t>
      </w:r>
      <w:r w:rsidR="00702D45" w:rsidRPr="00EE27BF">
        <w:rPr>
          <w:bCs/>
        </w:rPr>
        <w:t xml:space="preserve"> </w:t>
      </w:r>
      <w:r w:rsidR="00C51E0C" w:rsidRPr="00EE27BF">
        <w:rPr>
          <w:bCs/>
        </w:rPr>
        <w:t xml:space="preserve">credible </w:t>
      </w:r>
      <w:r w:rsidR="00021952" w:rsidRPr="00EE27BF">
        <w:rPr>
          <w:bCs/>
        </w:rPr>
        <w:t xml:space="preserve">argument </w:t>
      </w:r>
      <w:r w:rsidR="00C51E0C" w:rsidRPr="00EE27BF">
        <w:rPr>
          <w:bCs/>
        </w:rPr>
        <w:t xml:space="preserve">that </w:t>
      </w:r>
      <w:r w:rsidR="00461CF8" w:rsidRPr="00EE27BF">
        <w:rPr>
          <w:bCs/>
        </w:rPr>
        <w:t xml:space="preserve">additional medical-surgical beds are </w:t>
      </w:r>
      <w:r w:rsidR="00244659" w:rsidRPr="00EE27BF">
        <w:rPr>
          <w:bCs/>
        </w:rPr>
        <w:t>warranted at I</w:t>
      </w:r>
      <w:r w:rsidR="00EE27BF" w:rsidRPr="00EE27BF">
        <w:rPr>
          <w:bCs/>
        </w:rPr>
        <w:t>nova Fairfax Hospital.</w:t>
      </w:r>
    </w:p>
    <w:p w14:paraId="3CD3A4D8" w14:textId="77777777" w:rsidR="00244659" w:rsidRDefault="00244659" w:rsidP="00244659">
      <w:pPr>
        <w:rPr>
          <w:szCs w:val="22"/>
        </w:rPr>
      </w:pPr>
    </w:p>
    <w:p w14:paraId="225897A1" w14:textId="77777777" w:rsidR="003B2EA7" w:rsidRDefault="003B2EA7" w:rsidP="00D4566D">
      <w:r w:rsidRPr="00D4566D">
        <w:rPr>
          <w:b/>
        </w:rPr>
        <w:t xml:space="preserve">     B.  Access Considerations</w:t>
      </w:r>
      <w:r>
        <w:tab/>
      </w:r>
    </w:p>
    <w:p w14:paraId="3BBDB93B" w14:textId="77777777" w:rsidR="00341C12" w:rsidRDefault="00341C12" w:rsidP="00D4566D"/>
    <w:p w14:paraId="460E88A5" w14:textId="0172072D" w:rsidR="003A5B69" w:rsidRDefault="00856CD4" w:rsidP="00D4566D">
      <w:r>
        <w:t xml:space="preserve">Inova Fairfax </w:t>
      </w:r>
      <w:r w:rsidR="003B2EA7">
        <w:t xml:space="preserve">Hospital </w:t>
      </w:r>
      <w:r>
        <w:t xml:space="preserve">(IFH) </w:t>
      </w:r>
      <w:r w:rsidR="003B2EA7">
        <w:t>offe</w:t>
      </w:r>
      <w:r w:rsidR="005D51A3">
        <w:t>rs</w:t>
      </w:r>
      <w:r w:rsidR="00AB712A">
        <w:t xml:space="preserve"> </w:t>
      </w:r>
      <w:r w:rsidR="00062313">
        <w:t>a</w:t>
      </w:r>
      <w:r w:rsidR="00702D45">
        <w:t>n</w:t>
      </w:r>
      <w:r w:rsidR="00AB712A">
        <w:t xml:space="preserve"> </w:t>
      </w:r>
      <w:r w:rsidR="003B2EA7">
        <w:t xml:space="preserve">array of </w:t>
      </w:r>
      <w:r w:rsidR="00AB712A">
        <w:t xml:space="preserve">inpatient acute care </w:t>
      </w:r>
      <w:r w:rsidR="003B2EA7">
        <w:t>medical-surgical services</w:t>
      </w:r>
      <w:r>
        <w:t>.</w:t>
      </w:r>
      <w:r w:rsidR="003B2EA7">
        <w:t xml:space="preserve"> </w:t>
      </w:r>
      <w:r w:rsidR="00EE70DF">
        <w:t>I</w:t>
      </w:r>
      <w:r w:rsidR="005D51A3">
        <w:t>t</w:t>
      </w:r>
      <w:r>
        <w:t xml:space="preserve"> is the region’s </w:t>
      </w:r>
      <w:r w:rsidR="00F10C89">
        <w:t xml:space="preserve">largest community hospital and the regional </w:t>
      </w:r>
      <w:r>
        <w:t xml:space="preserve">referral </w:t>
      </w:r>
      <w:r w:rsidR="00061888">
        <w:t>center</w:t>
      </w:r>
      <w:r w:rsidR="00090920">
        <w:t>. It has the broadest and least concentrated</w:t>
      </w:r>
      <w:r>
        <w:t xml:space="preserve"> primary service area in the region.</w:t>
      </w:r>
      <w:r w:rsidR="00015D2E">
        <w:t xml:space="preserve"> More than half o</w:t>
      </w:r>
      <w:r w:rsidR="003049D1">
        <w:t xml:space="preserve">f the zip codes in </w:t>
      </w:r>
      <w:r w:rsidR="00015D2E">
        <w:t>the region a</w:t>
      </w:r>
      <w:r w:rsidR="003049D1">
        <w:t>re in the IFH primary service area</w:t>
      </w:r>
      <w:r w:rsidR="005D51A3">
        <w:t xml:space="preserve">. </w:t>
      </w:r>
      <w:r w:rsidR="003049D1">
        <w:t xml:space="preserve">Adding </w:t>
      </w:r>
      <w:r w:rsidR="00B03303">
        <w:t xml:space="preserve">the </w:t>
      </w:r>
      <w:r w:rsidR="003049D1">
        <w:t>beds requested</w:t>
      </w:r>
      <w:r w:rsidR="0099620E">
        <w:t xml:space="preserve"> wo</w:t>
      </w:r>
      <w:r w:rsidR="003049D1">
        <w:t xml:space="preserve">uld not affect </w:t>
      </w:r>
      <w:r w:rsidR="00015D2E">
        <w:t xml:space="preserve">the </w:t>
      </w:r>
      <w:r w:rsidR="003A5B69">
        <w:t xml:space="preserve">size or configuration of </w:t>
      </w:r>
      <w:r w:rsidR="00D54FF0">
        <w:t>the hospital’s</w:t>
      </w:r>
      <w:r w:rsidR="009E5880">
        <w:t xml:space="preserve"> </w:t>
      </w:r>
      <w:r w:rsidR="003A5B69">
        <w:t xml:space="preserve">service area or </w:t>
      </w:r>
      <w:r w:rsidR="00015D2E">
        <w:t xml:space="preserve">the </w:t>
      </w:r>
      <w:r w:rsidR="003A5B69">
        <w:t>referral patterns wit</w:t>
      </w:r>
      <w:r w:rsidR="00090920">
        <w:t>h</w:t>
      </w:r>
      <w:r w:rsidR="009E5880">
        <w:t>in it</w:t>
      </w:r>
      <w:r w:rsidR="003A5B69">
        <w:t xml:space="preserve">. </w:t>
      </w:r>
    </w:p>
    <w:p w14:paraId="5B902089" w14:textId="77777777" w:rsidR="00061888" w:rsidRDefault="00061888" w:rsidP="00D4566D"/>
    <w:p w14:paraId="0CA2F9E0" w14:textId="0E89E7D9" w:rsidR="00121FC1" w:rsidRDefault="003049D1" w:rsidP="00D4566D">
      <w:r>
        <w:t>Inova</w:t>
      </w:r>
      <w:r w:rsidR="00AB712A" w:rsidRPr="00DF2870">
        <w:t xml:space="preserve"> </w:t>
      </w:r>
      <w:r w:rsidR="003B2EA7" w:rsidRPr="00DF2870">
        <w:t>ha</w:t>
      </w:r>
      <w:r w:rsidR="00EC4C65">
        <w:t xml:space="preserve">s </w:t>
      </w:r>
      <w:r w:rsidR="003B2EA7" w:rsidRPr="00DF2870">
        <w:t>charity care polic</w:t>
      </w:r>
      <w:r w:rsidR="00AB712A" w:rsidRPr="00DF2870">
        <w:t>ies</w:t>
      </w:r>
      <w:r w:rsidR="003B2EA7" w:rsidRPr="00DF2870">
        <w:t xml:space="preserve"> that make free care available to uninsured patients with annual </w:t>
      </w:r>
      <w:r w:rsidR="00015D2E">
        <w:t xml:space="preserve">family </w:t>
      </w:r>
      <w:r w:rsidR="003B2EA7" w:rsidRPr="00DF2870">
        <w:t xml:space="preserve">income </w:t>
      </w:r>
      <w:r w:rsidR="00015D2E">
        <w:t xml:space="preserve">of </w:t>
      </w:r>
      <w:r w:rsidR="003B2EA7" w:rsidRPr="00DF2870">
        <w:t xml:space="preserve">less than 200% of the federal poverty level </w:t>
      </w:r>
      <w:r w:rsidR="00AB712A" w:rsidRPr="00DF2870">
        <w:t>(</w:t>
      </w:r>
      <w:r w:rsidR="006571E8" w:rsidRPr="00DF2870">
        <w:t xml:space="preserve">about </w:t>
      </w:r>
      <w:r w:rsidR="003A5B69">
        <w:t>$</w:t>
      </w:r>
      <w:r w:rsidR="00051639">
        <w:t>4</w:t>
      </w:r>
      <w:r w:rsidR="003A5B69">
        <w:t>2,</w:t>
      </w:r>
      <w:r w:rsidR="0008149F">
        <w:t>30</w:t>
      </w:r>
      <w:r w:rsidR="00AB712A" w:rsidRPr="00DF2870">
        <w:t xml:space="preserve">0 </w:t>
      </w:r>
      <w:r w:rsidR="006571E8" w:rsidRPr="00DF2870">
        <w:t xml:space="preserve">for a family of two and </w:t>
      </w:r>
      <w:r w:rsidR="003A5B69">
        <w:t>$</w:t>
      </w:r>
      <w:r w:rsidR="007104F6">
        <w:t>64</w:t>
      </w:r>
      <w:r w:rsidR="003A5B69">
        <w:t>,</w:t>
      </w:r>
      <w:r w:rsidR="007104F6">
        <w:t>3</w:t>
      </w:r>
      <w:r w:rsidR="003B2EA7" w:rsidRPr="00DF2870">
        <w:t xml:space="preserve">00 for </w:t>
      </w:r>
      <w:r w:rsidR="006571E8" w:rsidRPr="00DF2870">
        <w:t xml:space="preserve">a </w:t>
      </w:r>
      <w:r w:rsidR="00AB712A" w:rsidRPr="00DF2870">
        <w:t>famil</w:t>
      </w:r>
      <w:r w:rsidR="006571E8" w:rsidRPr="00DF2870">
        <w:t>y</w:t>
      </w:r>
      <w:r w:rsidR="00AB712A" w:rsidRPr="00DF2870">
        <w:t xml:space="preserve"> </w:t>
      </w:r>
      <w:r w:rsidR="00C93574">
        <w:t xml:space="preserve">of </w:t>
      </w:r>
      <w:r w:rsidR="007104F6">
        <w:t>f</w:t>
      </w:r>
      <w:r w:rsidR="00AB712A" w:rsidRPr="00DF2870">
        <w:t>our)</w:t>
      </w:r>
      <w:r w:rsidR="003B2EA7" w:rsidRPr="00DF2870">
        <w:t xml:space="preserve">. There are also </w:t>
      </w:r>
      <w:r w:rsidR="00AB712A" w:rsidRPr="00DF2870">
        <w:t xml:space="preserve">limited </w:t>
      </w:r>
      <w:r w:rsidR="003B2EA7" w:rsidRPr="00DF2870">
        <w:t>discounts from charg</w:t>
      </w:r>
      <w:r w:rsidR="003A5B69">
        <w:t>es available to uninsured (self-</w:t>
      </w:r>
      <w:r w:rsidR="003B2EA7" w:rsidRPr="00DF2870">
        <w:t xml:space="preserve">pay) patients with </w:t>
      </w:r>
      <w:r w:rsidR="003A5B69">
        <w:t xml:space="preserve">family </w:t>
      </w:r>
      <w:r w:rsidR="003B2EA7" w:rsidRPr="00DF2870">
        <w:t xml:space="preserve">income </w:t>
      </w:r>
      <w:r w:rsidR="003A5B69">
        <w:t xml:space="preserve">between </w:t>
      </w:r>
      <w:r w:rsidR="003B2EA7" w:rsidRPr="00DF2870">
        <w:t xml:space="preserve">200% </w:t>
      </w:r>
      <w:r w:rsidR="003A5B69">
        <w:t xml:space="preserve">and 400% </w:t>
      </w:r>
      <w:r w:rsidR="003B2EA7" w:rsidRPr="00DF2870">
        <w:t xml:space="preserve">of the </w:t>
      </w:r>
      <w:r w:rsidR="00015D2E">
        <w:t xml:space="preserve">federal </w:t>
      </w:r>
      <w:r w:rsidR="003B2EA7" w:rsidRPr="00DF2870">
        <w:t>poverty level</w:t>
      </w:r>
      <w:r w:rsidR="003B2EA7" w:rsidRPr="003B7FB2">
        <w:t xml:space="preserve">. </w:t>
      </w:r>
      <w:r w:rsidR="00EC4C65">
        <w:t xml:space="preserve">The </w:t>
      </w:r>
      <w:r w:rsidR="00D54FF0">
        <w:t>current</w:t>
      </w:r>
      <w:r w:rsidR="003A5B69">
        <w:t xml:space="preserve"> proposal would </w:t>
      </w:r>
      <w:r w:rsidR="00D54FF0">
        <w:t xml:space="preserve">not </w:t>
      </w:r>
      <w:r w:rsidR="003A5B69">
        <w:t>alter these policies and practices.</w:t>
      </w:r>
    </w:p>
    <w:p w14:paraId="6358B5E1" w14:textId="77777777" w:rsidR="00121FC1" w:rsidRDefault="00121FC1" w:rsidP="00D4566D"/>
    <w:p w14:paraId="5D4658B8" w14:textId="12ADD6C4" w:rsidR="00090920" w:rsidRDefault="003A5B69" w:rsidP="00D4566D">
      <w:r>
        <w:t xml:space="preserve">Adding beds at IFH </w:t>
      </w:r>
      <w:r w:rsidR="00121FC1" w:rsidRPr="00DF2870">
        <w:t xml:space="preserve">is not necessary to improve </w:t>
      </w:r>
      <w:r w:rsidR="00232004">
        <w:t xml:space="preserve">regional </w:t>
      </w:r>
      <w:r w:rsidR="00121FC1" w:rsidRPr="00DF2870">
        <w:t xml:space="preserve">access to </w:t>
      </w:r>
      <w:r>
        <w:t>inpatient care</w:t>
      </w:r>
      <w:r w:rsidR="00121FC1" w:rsidRPr="00DF2870">
        <w:t xml:space="preserve">. There is no regional shortage of </w:t>
      </w:r>
      <w:r>
        <w:t>acute care hos</w:t>
      </w:r>
      <w:r w:rsidR="00A63AE5">
        <w:t xml:space="preserve">pital beds. </w:t>
      </w:r>
      <w:r w:rsidR="00090920">
        <w:t xml:space="preserve">Though additional beds are not necessary to </w:t>
      </w:r>
      <w:r w:rsidR="007A0420">
        <w:t>ensure</w:t>
      </w:r>
      <w:r w:rsidR="00090920">
        <w:t xml:space="preserve"> reasonable access, it is axiomatic that having adequate capacity is necessary to permit </w:t>
      </w:r>
      <w:r w:rsidR="00F31472">
        <w:t xml:space="preserve">IFH to </w:t>
      </w:r>
      <w:r w:rsidR="00090920">
        <w:t>operat</w:t>
      </w:r>
      <w:r w:rsidR="00BF6C9C">
        <w:t>e efficiently</w:t>
      </w:r>
      <w:r w:rsidR="00A63AE5">
        <w:t xml:space="preserve"> and to </w:t>
      </w:r>
      <w:r w:rsidR="00BF6C9C">
        <w:t>remain</w:t>
      </w:r>
      <w:r w:rsidR="00A63AE5">
        <w:t xml:space="preserve"> responsive to</w:t>
      </w:r>
      <w:r w:rsidR="00090920">
        <w:t xml:space="preserve"> </w:t>
      </w:r>
      <w:r w:rsidR="00A570A4">
        <w:t>the communities it serves.</w:t>
      </w:r>
      <w:r w:rsidR="00015D2E">
        <w:t xml:space="preserve"> </w:t>
      </w:r>
    </w:p>
    <w:p w14:paraId="6EC67ED5" w14:textId="77777777" w:rsidR="00090920" w:rsidRDefault="00090920" w:rsidP="00D4566D"/>
    <w:p w14:paraId="4FFC921C" w14:textId="77777777" w:rsidR="003B2EA7" w:rsidRPr="00D4566D" w:rsidRDefault="003B2EA7" w:rsidP="00D4566D">
      <w:pPr>
        <w:rPr>
          <w:b/>
        </w:rPr>
      </w:pPr>
      <w:r>
        <w:t xml:space="preserve">       </w:t>
      </w:r>
      <w:r w:rsidRPr="00D4566D">
        <w:rPr>
          <w:b/>
        </w:rPr>
        <w:t>C.  Cost Considerations</w:t>
      </w:r>
    </w:p>
    <w:p w14:paraId="277E2932" w14:textId="77777777" w:rsidR="003B2EA7" w:rsidRDefault="003B2EA7" w:rsidP="00D4566D">
      <w:pPr>
        <w:pStyle w:val="WP9BodyText"/>
      </w:pPr>
    </w:p>
    <w:p w14:paraId="3CA9842F" w14:textId="14C292DC" w:rsidR="00F0244E" w:rsidRDefault="00A63AE5" w:rsidP="00FB6856">
      <w:pPr>
        <w:widowControl/>
      </w:pPr>
      <w:r w:rsidRPr="00A3201E">
        <w:t xml:space="preserve">Inova </w:t>
      </w:r>
      <w:r w:rsidR="003B2EA7" w:rsidRPr="00A3201E">
        <w:t>propose</w:t>
      </w:r>
      <w:r w:rsidR="00FE0453" w:rsidRPr="00A3201E">
        <w:t>s</w:t>
      </w:r>
      <w:r w:rsidR="003B2EA7" w:rsidRPr="00A3201E">
        <w:t xml:space="preserve"> </w:t>
      </w:r>
      <w:r w:rsidR="00974F3E" w:rsidRPr="00A3201E">
        <w:t>a capital outlay of</w:t>
      </w:r>
      <w:r w:rsidR="00921775" w:rsidRPr="00A3201E">
        <w:t xml:space="preserve"> </w:t>
      </w:r>
      <w:r w:rsidR="005762AF" w:rsidRPr="00A3201E">
        <w:t>$32,944,38</w:t>
      </w:r>
      <w:r w:rsidR="00974F3E" w:rsidRPr="00A3201E">
        <w:t>6</w:t>
      </w:r>
      <w:r w:rsidR="00921775" w:rsidRPr="00A3201E">
        <w:t xml:space="preserve"> to </w:t>
      </w:r>
      <w:r w:rsidR="00FE0453" w:rsidRPr="00A3201E">
        <w:t>add</w:t>
      </w:r>
      <w:r w:rsidR="006113B8" w:rsidRPr="00A3201E">
        <w:t xml:space="preserve"> </w:t>
      </w:r>
      <w:r w:rsidR="00FE0453" w:rsidRPr="00A3201E">
        <w:t xml:space="preserve">48 </w:t>
      </w:r>
      <w:r w:rsidR="00921775" w:rsidRPr="00A3201E">
        <w:t>medical-surgical beds</w:t>
      </w:r>
      <w:r w:rsidR="00530A97" w:rsidRPr="00A3201E">
        <w:t xml:space="preserve"> at Inova Fairfax Hospital</w:t>
      </w:r>
      <w:r w:rsidR="002671E6" w:rsidRPr="00A3201E">
        <w:t>, an average cost of $</w:t>
      </w:r>
      <w:r w:rsidR="0076013C" w:rsidRPr="00A3201E">
        <w:rPr>
          <w:color w:val="000000"/>
          <w:szCs w:val="22"/>
        </w:rPr>
        <w:t>686,34</w:t>
      </w:r>
      <w:r w:rsidR="006113B8" w:rsidRPr="00A3201E">
        <w:rPr>
          <w:color w:val="000000"/>
          <w:szCs w:val="22"/>
        </w:rPr>
        <w:t xml:space="preserve">2 </w:t>
      </w:r>
      <w:r w:rsidR="002671E6" w:rsidRPr="00A3201E">
        <w:t xml:space="preserve">per </w:t>
      </w:r>
      <w:r w:rsidR="00FD51F4" w:rsidRPr="00A3201E">
        <w:t>bed</w:t>
      </w:r>
      <w:r w:rsidR="006113B8" w:rsidRPr="00A3201E">
        <w:t>.</w:t>
      </w:r>
      <w:r w:rsidR="00530A97" w:rsidRPr="00A3201E">
        <w:t xml:space="preserve"> </w:t>
      </w:r>
      <w:r w:rsidR="000B5A9E" w:rsidRPr="00A3201E">
        <w:t>The project entail</w:t>
      </w:r>
      <w:r w:rsidR="00D83A43" w:rsidRPr="00A3201E">
        <w:t>s</w:t>
      </w:r>
      <w:r w:rsidR="000B5A9E" w:rsidRPr="00A3201E">
        <w:t xml:space="preserve"> the conversion of existing hospital space </w:t>
      </w:r>
      <w:r w:rsidR="00C75E06" w:rsidRPr="00A3201E">
        <w:t xml:space="preserve">in </w:t>
      </w:r>
      <w:r w:rsidR="00C40FA7" w:rsidRPr="00A3201E">
        <w:t xml:space="preserve">IFH’s north tower building </w:t>
      </w:r>
      <w:r w:rsidR="000B5A9E" w:rsidRPr="00A3201E">
        <w:t xml:space="preserve">to accommodate </w:t>
      </w:r>
      <w:r w:rsidR="005475A8" w:rsidRPr="00A3201E">
        <w:t>two</w:t>
      </w:r>
      <w:r w:rsidR="00B33705" w:rsidRPr="00A3201E">
        <w:t xml:space="preserve"> </w:t>
      </w:r>
      <w:r w:rsidR="005035F5" w:rsidRPr="00A3201E">
        <w:t>24-bed nur</w:t>
      </w:r>
      <w:r w:rsidR="00B10245" w:rsidRPr="00A3201E">
        <w:t>sing units</w:t>
      </w:r>
      <w:r w:rsidR="00C40FA7" w:rsidRPr="00A3201E">
        <w:t>, one on the second f</w:t>
      </w:r>
      <w:r w:rsidR="008D0DBB" w:rsidRPr="00A3201E">
        <w:t xml:space="preserve">loor and one on the sixth floor. </w:t>
      </w:r>
      <w:r w:rsidR="00B10245" w:rsidRPr="00A3201E">
        <w:t xml:space="preserve"> </w:t>
      </w:r>
      <w:r w:rsidR="000B5A9E" w:rsidRPr="00A3201E">
        <w:t xml:space="preserve"> </w:t>
      </w:r>
    </w:p>
    <w:p w14:paraId="232815C8" w14:textId="77777777" w:rsidR="00FB6856" w:rsidRDefault="00FB6856" w:rsidP="00FB6856">
      <w:pPr>
        <w:widowControl/>
      </w:pPr>
    </w:p>
    <w:p w14:paraId="47F1F686" w14:textId="10CF1F2E" w:rsidR="006E7544" w:rsidRDefault="00D92F89" w:rsidP="00306E2D">
      <w:pPr>
        <w:pStyle w:val="BodyText"/>
        <w:rPr>
          <w:szCs w:val="22"/>
        </w:rPr>
      </w:pPr>
      <w:r w:rsidRPr="000546E6">
        <w:t>P</w:t>
      </w:r>
      <w:r w:rsidR="00192796" w:rsidRPr="000546E6">
        <w:t xml:space="preserve">rojected </w:t>
      </w:r>
      <w:r w:rsidR="006E55B2" w:rsidRPr="000546E6">
        <w:t xml:space="preserve">aggregate and </w:t>
      </w:r>
      <w:r w:rsidR="006F4586">
        <w:t xml:space="preserve">unit </w:t>
      </w:r>
      <w:r w:rsidR="006E55B2" w:rsidRPr="000546E6">
        <w:t xml:space="preserve">costs </w:t>
      </w:r>
      <w:r w:rsidR="006C71B1">
        <w:t xml:space="preserve">(capital expense per square foot and per bed) </w:t>
      </w:r>
      <w:r w:rsidR="006E55B2" w:rsidRPr="000546E6">
        <w:t>are</w:t>
      </w:r>
      <w:r w:rsidR="002B4380" w:rsidRPr="000546E6">
        <w:t xml:space="preserve"> lower than most recent</w:t>
      </w:r>
      <w:r w:rsidR="007E64FE" w:rsidRPr="000546E6">
        <w:t xml:space="preserve"> </w:t>
      </w:r>
      <w:r w:rsidR="00F91229">
        <w:t xml:space="preserve">local </w:t>
      </w:r>
      <w:r w:rsidR="007E64FE" w:rsidRPr="000546E6">
        <w:t>acute care hospital projects</w:t>
      </w:r>
      <w:r w:rsidR="00A32B69" w:rsidRPr="000546E6">
        <w:t xml:space="preserve">. </w:t>
      </w:r>
      <w:r w:rsidR="006C71B1">
        <w:t xml:space="preserve">This is because </w:t>
      </w:r>
      <w:r w:rsidR="0085307D">
        <w:t xml:space="preserve">the </w:t>
      </w:r>
      <w:r w:rsidR="00FB6856">
        <w:t>pro</w:t>
      </w:r>
      <w:r w:rsidR="002517FF">
        <w:t xml:space="preserve">posal </w:t>
      </w:r>
      <w:r w:rsidR="00250A61">
        <w:t>entails</w:t>
      </w:r>
      <w:r w:rsidR="00AA4569">
        <w:t xml:space="preserve"> </w:t>
      </w:r>
      <w:r w:rsidR="00AA4569" w:rsidRPr="000546E6">
        <w:t>renovating</w:t>
      </w:r>
      <w:r w:rsidR="002D541F" w:rsidRPr="000546E6">
        <w:t xml:space="preserve"> existing space </w:t>
      </w:r>
      <w:r w:rsidR="00250A61">
        <w:t xml:space="preserve">for which </w:t>
      </w:r>
      <w:r w:rsidR="002D541F" w:rsidRPr="000546E6">
        <w:t>a substantia</w:t>
      </w:r>
      <w:r w:rsidR="00A63AE5" w:rsidRPr="000546E6">
        <w:t>l</w:t>
      </w:r>
      <w:r w:rsidR="00A63AE5">
        <w:t xml:space="preserve"> part of the capital </w:t>
      </w:r>
      <w:r w:rsidR="00250A61">
        <w:t>cost</w:t>
      </w:r>
      <w:r w:rsidR="002D541F" w:rsidRPr="00015D2E">
        <w:t xml:space="preserve"> has </w:t>
      </w:r>
      <w:r w:rsidR="00536C16">
        <w:t xml:space="preserve">already </w:t>
      </w:r>
      <w:r w:rsidR="002D541F" w:rsidRPr="00015D2E">
        <w:t>been incurred</w:t>
      </w:r>
      <w:r w:rsidR="00342269" w:rsidRPr="00015D2E">
        <w:t>.</w:t>
      </w:r>
      <w:r w:rsidR="00342269">
        <w:t xml:space="preserve"> </w:t>
      </w:r>
      <w:r w:rsidR="00F736B4">
        <w:rPr>
          <w:szCs w:val="22"/>
        </w:rPr>
        <w:t xml:space="preserve">All capital costs would be paid </w:t>
      </w:r>
      <w:r w:rsidR="009B27E0">
        <w:rPr>
          <w:szCs w:val="22"/>
        </w:rPr>
        <w:t>from</w:t>
      </w:r>
      <w:r w:rsidR="00F736B4">
        <w:rPr>
          <w:szCs w:val="22"/>
        </w:rPr>
        <w:t xml:space="preserve"> internal Inova Health System funds. There would be no direct financing expense.</w:t>
      </w:r>
      <w:r w:rsidR="00F736B4">
        <w:rPr>
          <w:rStyle w:val="FootnoteReference"/>
          <w:szCs w:val="22"/>
        </w:rPr>
        <w:footnoteReference w:id="4"/>
      </w:r>
      <w:r w:rsidR="00342269">
        <w:rPr>
          <w:szCs w:val="22"/>
        </w:rPr>
        <w:t xml:space="preserve"> </w:t>
      </w:r>
    </w:p>
    <w:p w14:paraId="03DDD22A" w14:textId="39F41DC8" w:rsidR="006E7544" w:rsidRDefault="006E7544" w:rsidP="00306E2D">
      <w:pPr>
        <w:pStyle w:val="BodyText"/>
        <w:rPr>
          <w:szCs w:val="22"/>
        </w:rPr>
      </w:pPr>
      <w:r>
        <w:rPr>
          <w:szCs w:val="22"/>
        </w:rPr>
        <w:lastRenderedPageBreak/>
        <w:t>The</w:t>
      </w:r>
      <w:r w:rsidR="00181DD0">
        <w:rPr>
          <w:szCs w:val="22"/>
        </w:rPr>
        <w:t xml:space="preserve"> </w:t>
      </w:r>
      <w:r w:rsidR="00181DD0" w:rsidRPr="00FC7C77">
        <w:rPr>
          <w:i/>
          <w:iCs/>
          <w:szCs w:val="22"/>
        </w:rPr>
        <w:t>pro for</w:t>
      </w:r>
      <w:r w:rsidR="00181DD0" w:rsidRPr="00FC7C77">
        <w:rPr>
          <w:szCs w:val="22"/>
        </w:rPr>
        <w:t xml:space="preserve">ma </w:t>
      </w:r>
      <w:r w:rsidR="00181DD0">
        <w:rPr>
          <w:szCs w:val="22"/>
        </w:rPr>
        <w:t>budget</w:t>
      </w:r>
      <w:r w:rsidR="00FC7C77">
        <w:rPr>
          <w:szCs w:val="22"/>
        </w:rPr>
        <w:t xml:space="preserve"> for the project assumes </w:t>
      </w:r>
      <w:r w:rsidR="00E36871">
        <w:rPr>
          <w:szCs w:val="22"/>
        </w:rPr>
        <w:t>serving 2,95</w:t>
      </w:r>
      <w:r w:rsidR="006A5001">
        <w:rPr>
          <w:szCs w:val="22"/>
        </w:rPr>
        <w:t xml:space="preserve">2 </w:t>
      </w:r>
      <w:r w:rsidR="005A1402">
        <w:rPr>
          <w:szCs w:val="22"/>
        </w:rPr>
        <w:t>patients in</w:t>
      </w:r>
      <w:r w:rsidR="006A5001">
        <w:rPr>
          <w:szCs w:val="22"/>
        </w:rPr>
        <w:t xml:space="preserve"> the </w:t>
      </w:r>
      <w:r w:rsidR="00BC4D5A">
        <w:rPr>
          <w:szCs w:val="22"/>
        </w:rPr>
        <w:t>forty-eight</w:t>
      </w:r>
      <w:r w:rsidR="006A5001">
        <w:rPr>
          <w:szCs w:val="22"/>
        </w:rPr>
        <w:t xml:space="preserve"> beds in </w:t>
      </w:r>
      <w:r w:rsidR="00E04986">
        <w:rPr>
          <w:szCs w:val="22"/>
        </w:rPr>
        <w:t xml:space="preserve">2027, with </w:t>
      </w:r>
      <w:r w:rsidR="00E41B56">
        <w:rPr>
          <w:szCs w:val="22"/>
        </w:rPr>
        <w:t xml:space="preserve">gross </w:t>
      </w:r>
      <w:r w:rsidR="00E36871">
        <w:rPr>
          <w:szCs w:val="22"/>
        </w:rPr>
        <w:t>revenue</w:t>
      </w:r>
      <w:r w:rsidR="00E41B56">
        <w:rPr>
          <w:szCs w:val="22"/>
        </w:rPr>
        <w:t xml:space="preserve"> (charges) of </w:t>
      </w:r>
      <w:r w:rsidR="00250308">
        <w:rPr>
          <w:szCs w:val="22"/>
        </w:rPr>
        <w:t xml:space="preserve">$59,005 per </w:t>
      </w:r>
      <w:r w:rsidR="00D33D2C">
        <w:rPr>
          <w:szCs w:val="22"/>
        </w:rPr>
        <w:t xml:space="preserve">case, </w:t>
      </w:r>
      <w:r w:rsidR="00BC4D5A">
        <w:rPr>
          <w:szCs w:val="22"/>
        </w:rPr>
        <w:t xml:space="preserve">$22,688 </w:t>
      </w:r>
      <w:r w:rsidR="00D33D2C">
        <w:rPr>
          <w:szCs w:val="22"/>
        </w:rPr>
        <w:t>net revenue per case</w:t>
      </w:r>
      <w:r w:rsidR="00066521">
        <w:rPr>
          <w:szCs w:val="22"/>
        </w:rPr>
        <w:t>,</w:t>
      </w:r>
      <w:r w:rsidR="00D33D2C">
        <w:rPr>
          <w:szCs w:val="22"/>
        </w:rPr>
        <w:t xml:space="preserve"> and </w:t>
      </w:r>
      <w:r w:rsidR="00066521">
        <w:rPr>
          <w:szCs w:val="22"/>
        </w:rPr>
        <w:t xml:space="preserve">an operating </w:t>
      </w:r>
      <w:r w:rsidR="00CB0A14">
        <w:rPr>
          <w:szCs w:val="22"/>
        </w:rPr>
        <w:t xml:space="preserve">margin (profit) of </w:t>
      </w:r>
      <w:r w:rsidR="00BC4D5A">
        <w:rPr>
          <w:szCs w:val="22"/>
        </w:rPr>
        <w:t>$</w:t>
      </w:r>
      <w:r w:rsidR="00066521">
        <w:rPr>
          <w:szCs w:val="22"/>
        </w:rPr>
        <w:t>1,471</w:t>
      </w:r>
      <w:r w:rsidR="008E490D">
        <w:rPr>
          <w:szCs w:val="22"/>
        </w:rPr>
        <w:t xml:space="preserve"> </w:t>
      </w:r>
      <w:r w:rsidR="00320B77">
        <w:rPr>
          <w:szCs w:val="22"/>
        </w:rPr>
        <w:t xml:space="preserve">per case. </w:t>
      </w:r>
    </w:p>
    <w:p w14:paraId="2D8F81DF" w14:textId="77777777" w:rsidR="00475CD8" w:rsidRDefault="00475CD8" w:rsidP="00F736B4">
      <w:pPr>
        <w:rPr>
          <w:szCs w:val="22"/>
        </w:rPr>
      </w:pPr>
    </w:p>
    <w:p w14:paraId="70FA83F6" w14:textId="76CD5DFA" w:rsidR="00C623DC" w:rsidRDefault="00B5390E" w:rsidP="00F736B4">
      <w:pPr>
        <w:rPr>
          <w:szCs w:val="22"/>
        </w:rPr>
      </w:pPr>
      <w:r w:rsidRPr="00B5390E">
        <w:rPr>
          <w:noProof/>
        </w:rPr>
        <w:drawing>
          <wp:inline distT="0" distB="0" distL="0" distR="0" wp14:anchorId="01C9AC7A" wp14:editId="717F7042">
            <wp:extent cx="5634990" cy="4160520"/>
            <wp:effectExtent l="0" t="0" r="3810" b="0"/>
            <wp:docPr id="14769752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4990" cy="4160520"/>
                    </a:xfrm>
                    <a:prstGeom prst="rect">
                      <a:avLst/>
                    </a:prstGeom>
                    <a:noFill/>
                    <a:ln>
                      <a:noFill/>
                    </a:ln>
                  </pic:spPr>
                </pic:pic>
              </a:graphicData>
            </a:graphic>
          </wp:inline>
        </w:drawing>
      </w:r>
    </w:p>
    <w:p w14:paraId="4EEE55D8" w14:textId="77777777" w:rsidR="00BB19E4" w:rsidRDefault="00BB19E4" w:rsidP="00766F64">
      <w:pPr>
        <w:pStyle w:val="Default"/>
        <w:rPr>
          <w:rFonts w:ascii="Times New Roman" w:hAnsi="Times New Roman" w:cs="Times New Roman"/>
          <w:bCs/>
          <w:color w:val="000000" w:themeColor="text1"/>
          <w:sz w:val="22"/>
          <w:szCs w:val="22"/>
        </w:rPr>
      </w:pPr>
    </w:p>
    <w:p w14:paraId="64F1F21C" w14:textId="77777777" w:rsidR="00427624" w:rsidRDefault="00427624" w:rsidP="00C076A9">
      <w:pPr>
        <w:rPr>
          <w:szCs w:val="22"/>
        </w:rPr>
      </w:pPr>
    </w:p>
    <w:p w14:paraId="67BBC1DB" w14:textId="77777777" w:rsidR="00427624" w:rsidRDefault="00427624" w:rsidP="00C076A9">
      <w:pPr>
        <w:rPr>
          <w:szCs w:val="22"/>
        </w:rPr>
      </w:pPr>
    </w:p>
    <w:p w14:paraId="629D9705" w14:textId="30E1F689" w:rsidR="00CF098B" w:rsidRDefault="00C076A9" w:rsidP="00C076A9">
      <w:pPr>
        <w:rPr>
          <w:szCs w:val="22"/>
        </w:rPr>
      </w:pPr>
      <w:r>
        <w:rPr>
          <w:szCs w:val="22"/>
        </w:rPr>
        <w:lastRenderedPageBreak/>
        <w:t xml:space="preserve">It is worth noting that capital investment and charges for hospital services in northern Virginia are notably lower than those reported statewide (Table 3). The average charge per case in the region, $46,450 in 2023, was more than 25% below the Virginia statewide average of $64,419.  </w:t>
      </w:r>
    </w:p>
    <w:p w14:paraId="66D196DC" w14:textId="77777777" w:rsidR="00CF098B" w:rsidRDefault="00CF098B" w:rsidP="00C076A9">
      <w:pPr>
        <w:rPr>
          <w:szCs w:val="22"/>
        </w:rPr>
      </w:pPr>
    </w:p>
    <w:p w14:paraId="55C7271B" w14:textId="2152031E" w:rsidR="00C076A9" w:rsidRDefault="00C076A9" w:rsidP="0005113C">
      <w:pPr>
        <w:rPr>
          <w:bCs/>
          <w:color w:val="000000" w:themeColor="text1"/>
          <w:szCs w:val="22"/>
        </w:rPr>
      </w:pPr>
      <w:r>
        <w:rPr>
          <w:szCs w:val="22"/>
        </w:rPr>
        <w:t xml:space="preserve">The average charge among </w:t>
      </w:r>
      <w:r w:rsidR="00427624">
        <w:rPr>
          <w:szCs w:val="22"/>
        </w:rPr>
        <w:t xml:space="preserve">local </w:t>
      </w:r>
      <w:r>
        <w:rPr>
          <w:szCs w:val="22"/>
        </w:rPr>
        <w:t>acute</w:t>
      </w:r>
      <w:r w:rsidR="00CF098B">
        <w:rPr>
          <w:szCs w:val="22"/>
        </w:rPr>
        <w:t xml:space="preserve"> care </w:t>
      </w:r>
      <w:r w:rsidRPr="00CF098B">
        <w:rPr>
          <w:szCs w:val="22"/>
        </w:rPr>
        <w:t xml:space="preserve">medical surgical hospitals ranged from $30,120 at Inova Fair Oaks Hospital to $87,430 at Reston </w:t>
      </w:r>
      <w:r w:rsidRPr="00CF098B">
        <w:rPr>
          <w:sz w:val="20"/>
        </w:rPr>
        <w:t>Hospital Center. The average charge at Inova Fairfax Hospital was $50,460, about 9% above the regional average. Reflecting i</w:t>
      </w:r>
      <w:r w:rsidR="00A950DB">
        <w:rPr>
          <w:sz w:val="20"/>
        </w:rPr>
        <w:t>t</w:t>
      </w:r>
      <w:r w:rsidRPr="00CF098B">
        <w:rPr>
          <w:sz w:val="20"/>
        </w:rPr>
        <w:t xml:space="preserve">s referral center status, Inova Fairfax also had the highest case mix index in the region (2.41) and a longer than average length of stay (5.7 days). The average charge at the five Inova Health System hospitals was $43,198, </w:t>
      </w:r>
      <w:r w:rsidR="0005113C">
        <w:rPr>
          <w:szCs w:val="22"/>
        </w:rPr>
        <w:t>about 7% below the regional average.</w:t>
      </w:r>
    </w:p>
    <w:p w14:paraId="6D0ABAFE" w14:textId="77777777" w:rsidR="00C076A9" w:rsidRDefault="00C076A9" w:rsidP="00766F64">
      <w:pPr>
        <w:pStyle w:val="Default"/>
        <w:rPr>
          <w:rFonts w:ascii="Times New Roman" w:hAnsi="Times New Roman" w:cs="Times New Roman"/>
          <w:bCs/>
          <w:color w:val="000000" w:themeColor="text1"/>
          <w:sz w:val="22"/>
          <w:szCs w:val="22"/>
        </w:rPr>
      </w:pPr>
    </w:p>
    <w:p w14:paraId="28602CA4" w14:textId="4C82DB7B" w:rsidR="003B2EA7" w:rsidRPr="00D4566D" w:rsidRDefault="003B2EA7" w:rsidP="00D4566D">
      <w:pPr>
        <w:rPr>
          <w:b/>
        </w:rPr>
      </w:pPr>
      <w:r w:rsidRPr="00D4566D">
        <w:rPr>
          <w:b/>
        </w:rPr>
        <w:t xml:space="preserve">      </w:t>
      </w:r>
      <w:r>
        <w:rPr>
          <w:b/>
        </w:rPr>
        <w:t xml:space="preserve"> </w:t>
      </w:r>
      <w:r w:rsidRPr="00D4566D">
        <w:rPr>
          <w:b/>
        </w:rPr>
        <w:t>D.  Health System Considerations</w:t>
      </w:r>
      <w:r w:rsidRPr="00D4566D">
        <w:rPr>
          <w:b/>
        </w:rPr>
        <w:tab/>
      </w:r>
    </w:p>
    <w:p w14:paraId="0C9D5C02" w14:textId="77777777" w:rsidR="003B2EA7" w:rsidRDefault="003B2EA7" w:rsidP="00D4566D">
      <w:r>
        <w:tab/>
      </w:r>
    </w:p>
    <w:p w14:paraId="0AAAD502" w14:textId="2B6300EB" w:rsidR="006E77F5" w:rsidRDefault="00DF6356" w:rsidP="00D4566D">
      <w:r>
        <w:t>Inova</w:t>
      </w:r>
      <w:r w:rsidR="00B5390E">
        <w:t>’s</w:t>
      </w:r>
      <w:r>
        <w:t xml:space="preserve"> </w:t>
      </w:r>
      <w:r w:rsidR="00BD75E8">
        <w:t>pro</w:t>
      </w:r>
      <w:r w:rsidR="008C6D55">
        <w:t>pos</w:t>
      </w:r>
      <w:r w:rsidR="00DB34C8">
        <w:t>al would</w:t>
      </w:r>
      <w:r w:rsidR="00BD75E8">
        <w:t xml:space="preserve"> </w:t>
      </w:r>
      <w:r>
        <w:t>add 48 beds to the re</w:t>
      </w:r>
      <w:r w:rsidR="00C34A5A">
        <w:t xml:space="preserve">gion’s licensed complement, an </w:t>
      </w:r>
      <w:r>
        <w:t xml:space="preserve">increase of </w:t>
      </w:r>
      <w:r w:rsidR="00D803B0">
        <w:t xml:space="preserve">5.2% </w:t>
      </w:r>
      <w:r w:rsidR="00D30EC4">
        <w:t xml:space="preserve">in the Inova Fairfax Hospital licensed complement and a regional increase of </w:t>
      </w:r>
      <w:r w:rsidR="008C6D55">
        <w:t>about 1.6%</w:t>
      </w:r>
      <w:r w:rsidR="00A05071">
        <w:t>.</w:t>
      </w:r>
      <w:r>
        <w:t xml:space="preserve"> Inova</w:t>
      </w:r>
      <w:r w:rsidR="00AF1D99">
        <w:t xml:space="preserve"> </w:t>
      </w:r>
      <w:r w:rsidR="00235BBC">
        <w:t xml:space="preserve">does not </w:t>
      </w:r>
      <w:r w:rsidR="00D30EC4">
        <w:t>assert</w:t>
      </w:r>
      <w:r>
        <w:t xml:space="preserve"> a</w:t>
      </w:r>
      <w:r w:rsidR="00AF1D99">
        <w:t xml:space="preserve"> </w:t>
      </w:r>
      <w:r>
        <w:t xml:space="preserve">regional </w:t>
      </w:r>
      <w:r w:rsidR="00C536C5">
        <w:t xml:space="preserve">wide </w:t>
      </w:r>
      <w:r>
        <w:t xml:space="preserve">need for </w:t>
      </w:r>
      <w:r w:rsidR="00AF1D99">
        <w:t xml:space="preserve">additional medical-surgical beds. </w:t>
      </w:r>
      <w:r w:rsidR="00E07A26">
        <w:t>It notes the high use of the hospital</w:t>
      </w:r>
      <w:r w:rsidR="00B25F59">
        <w:t xml:space="preserve"> and</w:t>
      </w:r>
      <w:r w:rsidR="00E07A26">
        <w:t xml:space="preserve"> </w:t>
      </w:r>
      <w:r w:rsidR="00946860">
        <w:t>increas</w:t>
      </w:r>
      <w:r w:rsidR="00A14D2A">
        <w:t>ing</w:t>
      </w:r>
      <w:r w:rsidR="00E07A26">
        <w:t xml:space="preserve"> demand</w:t>
      </w:r>
      <w:r w:rsidR="00B25F59">
        <w:t xml:space="preserve"> </w:t>
      </w:r>
      <w:r w:rsidR="00732A10">
        <w:t xml:space="preserve">as evidence of </w:t>
      </w:r>
      <w:r w:rsidR="00FE02E0">
        <w:t>an</w:t>
      </w:r>
      <w:r w:rsidR="00E23DE1">
        <w:t xml:space="preserve"> </w:t>
      </w:r>
      <w:r w:rsidR="00DB19A7">
        <w:t>internal</w:t>
      </w:r>
      <w:r w:rsidR="005E4325">
        <w:t>,</w:t>
      </w:r>
      <w:r w:rsidR="00DB19A7">
        <w:t xml:space="preserve"> </w:t>
      </w:r>
      <w:r w:rsidR="00E23DE1" w:rsidRPr="005E4325">
        <w:rPr>
          <w:i/>
          <w:iCs/>
        </w:rPr>
        <w:t>institution specific</w:t>
      </w:r>
      <w:r w:rsidR="00E23DE1">
        <w:t xml:space="preserve"> need for additional capacity</w:t>
      </w:r>
      <w:r w:rsidR="00FF621B">
        <w:t>, necessary</w:t>
      </w:r>
      <w:r w:rsidR="00E23DE1">
        <w:t xml:space="preserve"> to </w:t>
      </w:r>
      <w:r w:rsidR="00CA4D7B">
        <w:t>respond to</w:t>
      </w:r>
      <w:r w:rsidR="00C536C5">
        <w:t xml:space="preserve"> </w:t>
      </w:r>
      <w:r w:rsidR="009D17DE">
        <w:t xml:space="preserve">current and projected </w:t>
      </w:r>
      <w:r w:rsidR="00BE1489">
        <w:t>near-term</w:t>
      </w:r>
      <w:r w:rsidR="00C536C5">
        <w:t xml:space="preserve"> demand</w:t>
      </w:r>
      <w:r w:rsidR="00E77AE0">
        <w:t xml:space="preserve">. </w:t>
      </w:r>
    </w:p>
    <w:p w14:paraId="7F4E613E" w14:textId="77777777" w:rsidR="00BE1489" w:rsidRDefault="00BE1489" w:rsidP="00D4566D"/>
    <w:p w14:paraId="16BEA704" w14:textId="239D92D8" w:rsidR="00D0546B" w:rsidRDefault="00E9769B" w:rsidP="00D4566D">
      <w:r>
        <w:t>Recent and current service volumes at IFH</w:t>
      </w:r>
      <w:r w:rsidR="009D5DB6">
        <w:t xml:space="preserve"> </w:t>
      </w:r>
      <w:r w:rsidR="00D87160">
        <w:t xml:space="preserve">qualify the </w:t>
      </w:r>
      <w:r w:rsidR="003C07DB">
        <w:t>proposal</w:t>
      </w:r>
      <w:r w:rsidR="00D87160">
        <w:t xml:space="preserve"> for consideration to </w:t>
      </w:r>
      <w:r w:rsidR="003C07DB">
        <w:t xml:space="preserve">expand under the institutional need provision of Virginia SMFP. </w:t>
      </w:r>
      <w:r w:rsidR="006216BA">
        <w:t>Restric</w:t>
      </w:r>
      <w:r w:rsidR="00D820C2">
        <w:t xml:space="preserve">ting capacity at Inova Fairfax Hospital will not </w:t>
      </w:r>
      <w:r w:rsidR="00690B57">
        <w:t xml:space="preserve">rectify, or otherwise address, </w:t>
      </w:r>
      <w:r w:rsidR="00482589">
        <w:t xml:space="preserve">the regional </w:t>
      </w:r>
      <w:r w:rsidR="00690B57">
        <w:t xml:space="preserve">surplus capacity </w:t>
      </w:r>
      <w:r w:rsidR="00482589">
        <w:t>situation</w:t>
      </w:r>
      <w:r w:rsidR="00D33DEB">
        <w:t xml:space="preserve">. </w:t>
      </w:r>
      <w:r w:rsidR="00FA11BE">
        <w:t xml:space="preserve">Demand has steadily increased </w:t>
      </w:r>
      <w:r w:rsidR="004E557B">
        <w:t xml:space="preserve">at IFH </w:t>
      </w:r>
      <w:r w:rsidR="00FA11BE">
        <w:t>for more than a decade</w:t>
      </w:r>
      <w:r w:rsidR="004E557B">
        <w:t xml:space="preserve"> as unused beds have </w:t>
      </w:r>
      <w:r w:rsidR="005D44A3">
        <w:t>remained vacant</w:t>
      </w:r>
      <w:r w:rsidR="00D0546B">
        <w:t xml:space="preserve"> at several</w:t>
      </w:r>
      <w:r w:rsidR="00A05071">
        <w:t xml:space="preserve"> </w:t>
      </w:r>
      <w:r w:rsidR="00D33DEB">
        <w:t xml:space="preserve">chronic low volume services.  </w:t>
      </w:r>
      <w:r w:rsidR="00CA4D7B">
        <w:t xml:space="preserve">Adding beds at IFH to </w:t>
      </w:r>
      <w:r w:rsidR="00823384">
        <w:t xml:space="preserve">meet </w:t>
      </w:r>
      <w:r w:rsidR="004B788A">
        <w:t>near-term</w:t>
      </w:r>
      <w:r w:rsidR="00823384">
        <w:t xml:space="preserve"> demand will not</w:t>
      </w:r>
      <w:r w:rsidR="00EB5E3F">
        <w:t xml:space="preserve"> affect this </w:t>
      </w:r>
      <w:r w:rsidR="000B290E">
        <w:t xml:space="preserve">segment of the market </w:t>
      </w:r>
      <w:r w:rsidR="002819A9">
        <w:t>in a meaningful way.</w:t>
      </w:r>
    </w:p>
    <w:p w14:paraId="29F0B507" w14:textId="65424F3D" w:rsidR="00A43518" w:rsidRDefault="00D4404F" w:rsidP="00C9745C">
      <w:r>
        <w:rPr>
          <w:b/>
        </w:rPr>
        <w:t xml:space="preserve">    </w:t>
      </w:r>
    </w:p>
    <w:p w14:paraId="28F72A08" w14:textId="77777777" w:rsidR="003B2EA7" w:rsidRPr="00D4566D" w:rsidRDefault="003B2EA7" w:rsidP="00D4566D">
      <w:pPr>
        <w:rPr>
          <w:b/>
        </w:rPr>
      </w:pPr>
      <w:r w:rsidRPr="00D4566D">
        <w:rPr>
          <w:b/>
        </w:rPr>
        <w:t>III.</w:t>
      </w:r>
      <w:r w:rsidR="00C3799A">
        <w:rPr>
          <w:b/>
        </w:rPr>
        <w:t xml:space="preserve"> </w:t>
      </w:r>
      <w:r w:rsidRPr="00D4566D">
        <w:rPr>
          <w:b/>
        </w:rPr>
        <w:t>Conclusions and Alternatives for Agency Action</w:t>
      </w:r>
    </w:p>
    <w:p w14:paraId="2D143951" w14:textId="77777777" w:rsidR="003B2EA7" w:rsidRDefault="003B2EA7" w:rsidP="00D4566D"/>
    <w:p w14:paraId="7BE7AC0B" w14:textId="77777777" w:rsidR="003B2EA7" w:rsidRPr="00D4566D" w:rsidRDefault="003B2EA7" w:rsidP="00D4566D">
      <w:pPr>
        <w:rPr>
          <w:b/>
        </w:rPr>
      </w:pPr>
      <w:r>
        <w:t xml:space="preserve">     </w:t>
      </w:r>
      <w:r w:rsidRPr="00D4566D">
        <w:rPr>
          <w:b/>
        </w:rPr>
        <w:t>A.</w:t>
      </w:r>
      <w:r w:rsidRPr="00D4566D">
        <w:rPr>
          <w:b/>
        </w:rPr>
        <w:tab/>
        <w:t>Findings and Conclusions</w:t>
      </w:r>
    </w:p>
    <w:p w14:paraId="01C0171D" w14:textId="77777777" w:rsidR="003B2EA7" w:rsidRDefault="003B2EA7" w:rsidP="00D4566D"/>
    <w:p w14:paraId="13D6E17C" w14:textId="7E3ABF8A" w:rsidR="00FA22DA" w:rsidRDefault="009542C3" w:rsidP="00FA22DA">
      <w:r>
        <w:t xml:space="preserve">Inova </w:t>
      </w:r>
      <w:r w:rsidR="00FC517A">
        <w:t>s</w:t>
      </w:r>
      <w:r w:rsidR="00FA22DA">
        <w:t>eek</w:t>
      </w:r>
      <w:r w:rsidR="004E01BB">
        <w:t>s</w:t>
      </w:r>
      <w:r w:rsidR="00FA22DA">
        <w:t xml:space="preserve"> authorization to add capacity under the </w:t>
      </w:r>
      <w:r w:rsidR="001A3259">
        <w:rPr>
          <w:i/>
        </w:rPr>
        <w:t>institutional need provision</w:t>
      </w:r>
      <w:r w:rsidR="00FA22DA">
        <w:t xml:space="preserve"> of the Virginia State Medical Facilities Plan</w:t>
      </w:r>
      <w:r w:rsidR="001A3259">
        <w:t xml:space="preserve"> (SMFP)</w:t>
      </w:r>
      <w:r w:rsidR="00FA22DA">
        <w:t>.</w:t>
      </w:r>
      <w:r w:rsidR="00C15008">
        <w:t xml:space="preserve"> </w:t>
      </w:r>
      <w:r w:rsidR="00221A7C">
        <w:t>Current</w:t>
      </w:r>
      <w:r w:rsidR="002770E6">
        <w:t xml:space="preserve"> and projected service </w:t>
      </w:r>
      <w:r w:rsidR="00221A7C">
        <w:t xml:space="preserve">volumes </w:t>
      </w:r>
      <w:r w:rsidR="00C15008">
        <w:t xml:space="preserve">qualify </w:t>
      </w:r>
      <w:r w:rsidR="00221A7C">
        <w:t xml:space="preserve">the hospital </w:t>
      </w:r>
      <w:r w:rsidR="00C15008">
        <w:t xml:space="preserve">for </w:t>
      </w:r>
      <w:r w:rsidR="00254865">
        <w:t xml:space="preserve"> </w:t>
      </w:r>
      <w:r w:rsidR="00954861">
        <w:t xml:space="preserve"> </w:t>
      </w:r>
      <w:r w:rsidR="00C15008">
        <w:t xml:space="preserve">consideration to add capacity in </w:t>
      </w:r>
      <w:r w:rsidR="00202C64">
        <w:t xml:space="preserve">the </w:t>
      </w:r>
      <w:r w:rsidR="000A3E17">
        <w:t>presence</w:t>
      </w:r>
      <w:r w:rsidR="00202C64">
        <w:t xml:space="preserve"> of unused capacity regionally. </w:t>
      </w:r>
    </w:p>
    <w:p w14:paraId="35950539" w14:textId="77777777" w:rsidR="00C15008" w:rsidRDefault="00C15008" w:rsidP="00FA22DA"/>
    <w:p w14:paraId="30F637DF" w14:textId="5BE8FEFE" w:rsidR="00FA22DA" w:rsidRDefault="00FA22DA" w:rsidP="00FA22DA">
      <w:r>
        <w:t xml:space="preserve">The nature and substance of the application, examined in the light of </w:t>
      </w:r>
      <w:r w:rsidR="00E468E3">
        <w:t xml:space="preserve">local </w:t>
      </w:r>
      <w:r w:rsidR="00A63BA7">
        <w:t xml:space="preserve">hospital </w:t>
      </w:r>
      <w:r w:rsidR="002819A9">
        <w:t>use,</w:t>
      </w:r>
      <w:r w:rsidR="00FC517A">
        <w:t xml:space="preserve"> trends and</w:t>
      </w:r>
      <w:r w:rsidR="00202C64">
        <w:t xml:space="preserve"> </w:t>
      </w:r>
      <w:r w:rsidR="003E623B">
        <w:t>market</w:t>
      </w:r>
      <w:r w:rsidR="00FC517A">
        <w:t xml:space="preserve"> c</w:t>
      </w:r>
      <w:r w:rsidR="007819A6">
        <w:t>onditions</w:t>
      </w:r>
      <w:r w:rsidR="009B4A44">
        <w:t>,</w:t>
      </w:r>
      <w:r>
        <w:t xml:space="preserve"> support </w:t>
      </w:r>
      <w:r w:rsidR="00A63BA7">
        <w:t>several</w:t>
      </w:r>
      <w:r>
        <w:t xml:space="preserve"> findings and conclusions</w:t>
      </w:r>
      <w:r w:rsidR="00A63BA7">
        <w:t>:</w:t>
      </w:r>
    </w:p>
    <w:p w14:paraId="70CA2985" w14:textId="77777777" w:rsidR="00FA22DA" w:rsidRDefault="00FA22DA" w:rsidP="00FA22DA"/>
    <w:p w14:paraId="16A7C669" w14:textId="0C0B07C6" w:rsidR="001F3E61" w:rsidRDefault="00966B82" w:rsidP="001F3E61">
      <w:pPr>
        <w:pStyle w:val="Level1"/>
        <w:numPr>
          <w:ilvl w:val="0"/>
          <w:numId w:val="19"/>
        </w:numPr>
        <w:tabs>
          <w:tab w:val="left" w:pos="720"/>
          <w:tab w:val="left" w:pos="1440"/>
        </w:tabs>
      </w:pPr>
      <w:r>
        <w:t>Low hospital use rates are endemic i</w:t>
      </w:r>
      <w:r w:rsidR="003229BC">
        <w:t>n</w:t>
      </w:r>
      <w:r>
        <w:t xml:space="preserve"> Northern Virginia. Hospital discharge and patient</w:t>
      </w:r>
      <w:r w:rsidR="000655C5">
        <w:t xml:space="preserve"> day rates</w:t>
      </w:r>
      <w:r>
        <w:t xml:space="preserve"> </w:t>
      </w:r>
      <w:r w:rsidR="009549D7">
        <w:t xml:space="preserve">have been substantially below national, state and metropolitan </w:t>
      </w:r>
      <w:r w:rsidR="00D755E6">
        <w:t xml:space="preserve">Washington </w:t>
      </w:r>
      <w:r w:rsidR="009549D7">
        <w:t>area rates for more than three decades.</w:t>
      </w:r>
      <w:r w:rsidR="001F3E61">
        <w:t xml:space="preserve"> They remain so.</w:t>
      </w:r>
    </w:p>
    <w:p w14:paraId="3D735D9F" w14:textId="35C9755A" w:rsidR="0041218D" w:rsidRDefault="0041218D" w:rsidP="0041218D">
      <w:pPr>
        <w:pStyle w:val="Level1"/>
        <w:numPr>
          <w:ilvl w:val="0"/>
          <w:numId w:val="19"/>
        </w:numPr>
        <w:tabs>
          <w:tab w:val="left" w:pos="720"/>
          <w:tab w:val="left" w:pos="1440"/>
        </w:tabs>
      </w:pPr>
      <w:r>
        <w:t xml:space="preserve">Though any </w:t>
      </w:r>
      <w:r w:rsidR="00422419">
        <w:t xml:space="preserve">negative </w:t>
      </w:r>
      <w:r>
        <w:t>service use rate is necessarily asymptotic, the falling hospital use rate i</w:t>
      </w:r>
      <w:r w:rsidR="007819A6">
        <w:t>n</w:t>
      </w:r>
      <w:r>
        <w:t xml:space="preserve"> Nort</w:t>
      </w:r>
      <w:r w:rsidR="003248F7">
        <w:t xml:space="preserve">hern Virginia has proven </w:t>
      </w:r>
      <w:r>
        <w:t>resilient. There is no indication that it will</w:t>
      </w:r>
      <w:r w:rsidR="009549D7">
        <w:t xml:space="preserve"> </w:t>
      </w:r>
      <w:r>
        <w:t>stabilize</w:t>
      </w:r>
      <w:r w:rsidR="00A63BA7">
        <w:t xml:space="preserve"> or, as </w:t>
      </w:r>
      <w:r w:rsidR="00F82367">
        <w:t>some</w:t>
      </w:r>
      <w:r w:rsidR="00A63BA7">
        <w:t xml:space="preserve"> assume</w:t>
      </w:r>
      <w:r>
        <w:t>, reverse in the near term.</w:t>
      </w:r>
    </w:p>
    <w:p w14:paraId="6E49F0D9" w14:textId="150571B4" w:rsidR="00C35246" w:rsidRDefault="00C35246" w:rsidP="00C35246">
      <w:pPr>
        <w:pStyle w:val="Level1"/>
        <w:numPr>
          <w:ilvl w:val="0"/>
          <w:numId w:val="19"/>
        </w:numPr>
        <w:tabs>
          <w:tab w:val="left" w:pos="720"/>
          <w:tab w:val="left" w:pos="1440"/>
        </w:tabs>
      </w:pPr>
      <w:r>
        <w:t xml:space="preserve">Increases in aggregate demand </w:t>
      </w:r>
      <w:r w:rsidR="00EF38B3">
        <w:t xml:space="preserve">among northern Virginia </w:t>
      </w:r>
      <w:r w:rsidR="004D5A1B">
        <w:t xml:space="preserve">acute care facilities </w:t>
      </w:r>
      <w:r>
        <w:t>are largely</w:t>
      </w:r>
      <w:r w:rsidR="00DB022F">
        <w:t xml:space="preserve"> </w:t>
      </w:r>
      <w:r>
        <w:t>the result of increasing net migration to the region for hospital care</w:t>
      </w:r>
      <w:r w:rsidR="00F82367">
        <w:t xml:space="preserve">. </w:t>
      </w:r>
      <w:r w:rsidR="008E7149">
        <w:t xml:space="preserve">Use of northern </w:t>
      </w:r>
      <w:r w:rsidR="008E7149">
        <w:lastRenderedPageBreak/>
        <w:t xml:space="preserve">Virgina hospitals by residents from outside the </w:t>
      </w:r>
      <w:r w:rsidR="00A377D6">
        <w:t>region</w:t>
      </w:r>
      <w:r w:rsidR="00460D04">
        <w:t xml:space="preserve"> increased </w:t>
      </w:r>
      <w:r w:rsidR="00B23C1E">
        <w:t xml:space="preserve">from </w:t>
      </w:r>
      <w:r w:rsidR="0010449E">
        <w:t xml:space="preserve">6.5% </w:t>
      </w:r>
      <w:r w:rsidR="00B23C1E">
        <w:t xml:space="preserve">to 14.3% of total discharges </w:t>
      </w:r>
      <w:r w:rsidR="00922440">
        <w:t>over the last two decades</w:t>
      </w:r>
      <w:r>
        <w:t>.</w:t>
      </w:r>
      <w:r w:rsidR="000D0DF8">
        <w:t xml:space="preserve"> </w:t>
      </w:r>
      <w:r w:rsidR="00922440">
        <w:t>With the resident inpatient use rate continuing to decrease, migration to the region</w:t>
      </w:r>
      <w:r w:rsidR="00404A97">
        <w:t xml:space="preserve"> </w:t>
      </w:r>
      <w:r w:rsidR="00E41FFE">
        <w:t xml:space="preserve">now </w:t>
      </w:r>
      <w:r w:rsidR="00404A97">
        <w:t xml:space="preserve">accounts for most of the net gain in </w:t>
      </w:r>
      <w:r w:rsidR="00703E4A">
        <w:t>aggregate discharges and inpatient days of care</w:t>
      </w:r>
      <w:r w:rsidR="005535F8">
        <w:t>.</w:t>
      </w:r>
    </w:p>
    <w:p w14:paraId="545C26D1" w14:textId="3C8049F4" w:rsidR="00C35246" w:rsidRDefault="005535F8" w:rsidP="00A9706D">
      <w:pPr>
        <w:pStyle w:val="Level1"/>
        <w:numPr>
          <w:ilvl w:val="0"/>
          <w:numId w:val="19"/>
        </w:numPr>
        <w:tabs>
          <w:tab w:val="left" w:pos="720"/>
          <w:tab w:val="left" w:pos="1440"/>
        </w:tabs>
      </w:pPr>
      <w:r>
        <w:t>Inpatient hospital use rates</w:t>
      </w:r>
      <w:r w:rsidR="00CA3D4D">
        <w:t xml:space="preserve"> are decreasing nationall</w:t>
      </w:r>
      <w:r w:rsidR="005251CB">
        <w:t>y and statewide</w:t>
      </w:r>
      <w:r w:rsidR="002223E1">
        <w:t xml:space="preserve">. The decreases in northern Virginia are </w:t>
      </w:r>
      <w:r w:rsidR="00106310">
        <w:t xml:space="preserve">steeper (greater) than those reported </w:t>
      </w:r>
      <w:r w:rsidR="005A4FE6">
        <w:t>nationally, statewide, and in the Washington metropolitan area.</w:t>
      </w:r>
    </w:p>
    <w:p w14:paraId="489F47B5" w14:textId="548AEFA1" w:rsidR="003248F7" w:rsidRDefault="0041218D" w:rsidP="00CA19E3">
      <w:pPr>
        <w:pStyle w:val="Level1"/>
        <w:numPr>
          <w:ilvl w:val="0"/>
          <w:numId w:val="19"/>
        </w:numPr>
        <w:tabs>
          <w:tab w:val="left" w:pos="720"/>
          <w:tab w:val="left" w:pos="1440"/>
        </w:tabs>
      </w:pPr>
      <w:r>
        <w:t xml:space="preserve">Application of the </w:t>
      </w:r>
      <w:r w:rsidR="000655C5">
        <w:t>medical-surgical bed</w:t>
      </w:r>
      <w:r w:rsidR="001F3E61">
        <w:t xml:space="preserve"> need formula specifi</w:t>
      </w:r>
      <w:r w:rsidR="00027A98">
        <w:t>ed</w:t>
      </w:r>
      <w:r w:rsidR="001F3E61">
        <w:t xml:space="preserve"> in the Virginia SMFP </w:t>
      </w:r>
      <w:r w:rsidR="00265027">
        <w:t>sugge</w:t>
      </w:r>
      <w:r w:rsidR="00FB7072">
        <w:t>sts</w:t>
      </w:r>
      <w:r w:rsidR="001F3E61">
        <w:t xml:space="preserve"> there </w:t>
      </w:r>
      <w:r w:rsidR="00FA22DA">
        <w:t xml:space="preserve">is no </w:t>
      </w:r>
      <w:r w:rsidR="00FD018E">
        <w:t xml:space="preserve">regional </w:t>
      </w:r>
      <w:r w:rsidR="00FA22DA">
        <w:t xml:space="preserve">need for additional </w:t>
      </w:r>
      <w:r w:rsidR="00417B4D">
        <w:t>hospital beds</w:t>
      </w:r>
      <w:r w:rsidR="000E295D">
        <w:t xml:space="preserve">, medical-surgical and otherwise, </w:t>
      </w:r>
      <w:r w:rsidR="00417B4D">
        <w:t>within</w:t>
      </w:r>
      <w:r w:rsidR="003248F7">
        <w:t xml:space="preserve"> the </w:t>
      </w:r>
      <w:r w:rsidR="00FD1CEE">
        <w:t>next five years</w:t>
      </w:r>
      <w:r w:rsidR="003248F7">
        <w:t xml:space="preserve">. </w:t>
      </w:r>
    </w:p>
    <w:p w14:paraId="5586EE41" w14:textId="2F5B002B" w:rsidR="00AB1E4C" w:rsidRDefault="00AB1E4C" w:rsidP="00CA19E3">
      <w:pPr>
        <w:pStyle w:val="ListParagraph"/>
        <w:numPr>
          <w:ilvl w:val="0"/>
          <w:numId w:val="19"/>
        </w:numPr>
        <w:tabs>
          <w:tab w:val="left" w:pos="720"/>
          <w:tab w:val="left" w:pos="1440"/>
        </w:tabs>
      </w:pPr>
      <w:r>
        <w:t>Inova make</w:t>
      </w:r>
      <w:r w:rsidR="00541DD1">
        <w:t>s</w:t>
      </w:r>
      <w:r>
        <w:t xml:space="preserve"> </w:t>
      </w:r>
      <w:r w:rsidR="00461AFC">
        <w:t>a strong</w:t>
      </w:r>
      <w:r>
        <w:t xml:space="preserve"> case </w:t>
      </w:r>
      <w:r w:rsidR="00811ED5">
        <w:t xml:space="preserve">for </w:t>
      </w:r>
      <w:r>
        <w:t>addi</w:t>
      </w:r>
      <w:r w:rsidR="00811ED5">
        <w:t>ng</w:t>
      </w:r>
      <w:r>
        <w:t xml:space="preserve"> medical-surgical beds </w:t>
      </w:r>
      <w:r w:rsidR="00541DD1">
        <w:t>at I</w:t>
      </w:r>
      <w:r w:rsidR="005A4FE6">
        <w:t>nova Fairfax Hospital</w:t>
      </w:r>
      <w:r w:rsidR="00EB0609">
        <w:t xml:space="preserve"> as quickly as they </w:t>
      </w:r>
      <w:r w:rsidR="00574F44">
        <w:t>can be added</w:t>
      </w:r>
      <w:r>
        <w:t xml:space="preserve">. </w:t>
      </w:r>
    </w:p>
    <w:p w14:paraId="346F0FB4" w14:textId="5BA5A84D" w:rsidR="00C9437F" w:rsidRDefault="00A96E29" w:rsidP="00C9437F">
      <w:pPr>
        <w:pStyle w:val="ListParagraph"/>
        <w:numPr>
          <w:ilvl w:val="0"/>
          <w:numId w:val="19"/>
        </w:numPr>
      </w:pPr>
      <w:r>
        <w:t xml:space="preserve">Inova’s assessment of </w:t>
      </w:r>
      <w:r w:rsidR="00A17C8D">
        <w:t xml:space="preserve">its capacity and </w:t>
      </w:r>
      <w:r w:rsidR="00EF77DB">
        <w:t>projected demand is system wide. The currently unused licensed capacity at Inova Alexandria Hos</w:t>
      </w:r>
      <w:r w:rsidR="00922451">
        <w:t xml:space="preserve">pital and Inova Mount Vernon Hospital </w:t>
      </w:r>
      <w:r w:rsidR="00E57E25">
        <w:t>are taken</w:t>
      </w:r>
      <w:r w:rsidR="00F61F96">
        <w:t xml:space="preserve"> into</w:t>
      </w:r>
      <w:r w:rsidR="00B26DBD">
        <w:t xml:space="preserve"> account,</w:t>
      </w:r>
    </w:p>
    <w:p w14:paraId="086884F4" w14:textId="565A97DA" w:rsidR="003C1B7B" w:rsidRDefault="002D25AF" w:rsidP="002D1322">
      <w:pPr>
        <w:pStyle w:val="Level1"/>
        <w:numPr>
          <w:ilvl w:val="0"/>
          <w:numId w:val="19"/>
        </w:numPr>
        <w:tabs>
          <w:tab w:val="left" w:pos="720"/>
          <w:tab w:val="left" w:pos="1440"/>
        </w:tabs>
      </w:pPr>
      <w:r>
        <w:t xml:space="preserve">The </w:t>
      </w:r>
      <w:r w:rsidR="00E52159">
        <w:t>p</w:t>
      </w:r>
      <w:r w:rsidR="003C1B7B">
        <w:t xml:space="preserve">rojected capital cost </w:t>
      </w:r>
      <w:r w:rsidR="002D1322">
        <w:t xml:space="preserve">of </w:t>
      </w:r>
      <w:r w:rsidR="00E52159">
        <w:t>the</w:t>
      </w:r>
      <w:r w:rsidR="002D1322">
        <w:t xml:space="preserve"> project </w:t>
      </w:r>
      <w:r w:rsidR="00E52159">
        <w:t xml:space="preserve">is </w:t>
      </w:r>
      <w:r w:rsidR="003C1B7B">
        <w:t xml:space="preserve">reasonable for the </w:t>
      </w:r>
      <w:r w:rsidR="002D1322">
        <w:t xml:space="preserve">space to be </w:t>
      </w:r>
      <w:r w:rsidR="0035302D">
        <w:t>renovated</w:t>
      </w:r>
      <w:r w:rsidR="00E56908">
        <w:t xml:space="preserve"> </w:t>
      </w:r>
      <w:r w:rsidR="002D1322">
        <w:t xml:space="preserve">and </w:t>
      </w:r>
      <w:r w:rsidR="00E56908">
        <w:t xml:space="preserve">for </w:t>
      </w:r>
      <w:r w:rsidR="002D1322">
        <w:t xml:space="preserve">the number of beds developed. </w:t>
      </w:r>
    </w:p>
    <w:p w14:paraId="184C17C2" w14:textId="272D682A" w:rsidR="005173C4" w:rsidRDefault="005173C4" w:rsidP="002D1322">
      <w:pPr>
        <w:pStyle w:val="Level1"/>
        <w:numPr>
          <w:ilvl w:val="0"/>
          <w:numId w:val="19"/>
        </w:numPr>
        <w:tabs>
          <w:tab w:val="left" w:pos="720"/>
          <w:tab w:val="left" w:pos="1440"/>
        </w:tabs>
      </w:pPr>
      <w:r>
        <w:t>The project</w:t>
      </w:r>
      <w:r w:rsidR="002402CF">
        <w:t xml:space="preserve"> qualifies under, and is consistent with</w:t>
      </w:r>
      <w:r w:rsidR="00475CD8">
        <w:t>,</w:t>
      </w:r>
      <w:r w:rsidR="002402CF">
        <w:t xml:space="preserve"> the provisions of </w:t>
      </w:r>
      <w:r w:rsidR="002402CF" w:rsidRPr="00DD7C58">
        <w:t xml:space="preserve">Section </w:t>
      </w:r>
      <w:r w:rsidR="00DD7C58" w:rsidRPr="00DD7C58">
        <w:rPr>
          <w:szCs w:val="22"/>
        </w:rPr>
        <w:t>12VAC5-230-80</w:t>
      </w:r>
      <w:r w:rsidR="006B629C">
        <w:rPr>
          <w:szCs w:val="22"/>
        </w:rPr>
        <w:t>,</w:t>
      </w:r>
      <w:r w:rsidR="002402CF" w:rsidRPr="00DD7C58">
        <w:t xml:space="preserve"> the institutional</w:t>
      </w:r>
      <w:r w:rsidR="002402CF">
        <w:t xml:space="preserve"> need provision</w:t>
      </w:r>
      <w:r w:rsidR="006B629C">
        <w:t>,</w:t>
      </w:r>
      <w:r w:rsidR="002402CF">
        <w:t xml:space="preserve"> of the Virginia State Medical Facilities Plan.</w:t>
      </w:r>
    </w:p>
    <w:p w14:paraId="2CC13379" w14:textId="1401DC04" w:rsidR="003B2EA7" w:rsidRDefault="003B2EA7" w:rsidP="00D4566D"/>
    <w:p w14:paraId="0AE07098" w14:textId="77777777" w:rsidR="003B2EA7" w:rsidRDefault="003B2EA7" w:rsidP="00D4566D">
      <w:pPr>
        <w:pStyle w:val="Heading1"/>
      </w:pPr>
      <w:r>
        <w:t xml:space="preserve">      B.   Alternatives for Agency Action</w:t>
      </w:r>
    </w:p>
    <w:p w14:paraId="5F4C1D35" w14:textId="77777777" w:rsidR="003B2EA7" w:rsidRDefault="003B2EA7" w:rsidP="00D4566D"/>
    <w:p w14:paraId="0609579E" w14:textId="1CD654D0" w:rsidR="003B2EA7" w:rsidRDefault="003B2EA7" w:rsidP="002D1322">
      <w:pPr>
        <w:pStyle w:val="BodyTextIndent2"/>
        <w:numPr>
          <w:ilvl w:val="0"/>
          <w:numId w:val="20"/>
        </w:numPr>
      </w:pPr>
      <w:r>
        <w:t>The Health Systems Agency of Northern Virginia may recommend to t</w:t>
      </w:r>
      <w:r w:rsidR="00B631F4">
        <w:t>he Commissioner of Health that</w:t>
      </w:r>
      <w:r>
        <w:t xml:space="preserve"> </w:t>
      </w:r>
      <w:r w:rsidR="00AB2175">
        <w:t xml:space="preserve">a </w:t>
      </w:r>
      <w:r w:rsidR="00E6159B">
        <w:t>certificate of public need</w:t>
      </w:r>
      <w:r>
        <w:t xml:space="preserve"> authorizing </w:t>
      </w:r>
      <w:r w:rsidR="00B631F4">
        <w:t xml:space="preserve">the </w:t>
      </w:r>
      <w:r>
        <w:t>project be granted.</w:t>
      </w:r>
    </w:p>
    <w:p w14:paraId="2F730850" w14:textId="77777777" w:rsidR="003B2EA7" w:rsidRDefault="003B2EA7" w:rsidP="00D4566D">
      <w:pPr>
        <w:pStyle w:val="BodyTextIndent2"/>
      </w:pPr>
    </w:p>
    <w:p w14:paraId="6B12BC94" w14:textId="2DA77C68" w:rsidR="003B2EA7" w:rsidRDefault="00BE0F3B" w:rsidP="00CC37F5">
      <w:pPr>
        <w:ind w:left="720"/>
      </w:pPr>
      <w:r>
        <w:t>A</w:t>
      </w:r>
      <w:r w:rsidR="00B631F4">
        <w:t>pprov</w:t>
      </w:r>
      <w:r w:rsidR="00CC37F5">
        <w:t>al of</w:t>
      </w:r>
      <w:r w:rsidR="00B631F4">
        <w:t xml:space="preserve"> </w:t>
      </w:r>
      <w:r>
        <w:t xml:space="preserve">the </w:t>
      </w:r>
      <w:r w:rsidR="003B2EA7">
        <w:t xml:space="preserve">proposal could be based on </w:t>
      </w:r>
      <w:r w:rsidR="00741F6D">
        <w:t xml:space="preserve">concluding </w:t>
      </w:r>
      <w:r w:rsidR="001A3259">
        <w:t xml:space="preserve">that </w:t>
      </w:r>
      <w:r w:rsidR="00637B81">
        <w:t>Inova</w:t>
      </w:r>
      <w:r w:rsidR="002D1322">
        <w:t xml:space="preserve"> ha</w:t>
      </w:r>
      <w:r w:rsidR="00637B81">
        <w:t>s</w:t>
      </w:r>
      <w:r w:rsidR="002D1322">
        <w:t xml:space="preserve"> shown that</w:t>
      </w:r>
      <w:r w:rsidR="001C1BCD">
        <w:t>:</w:t>
      </w:r>
      <w:r w:rsidR="002D1322">
        <w:t xml:space="preserve"> </w:t>
      </w:r>
    </w:p>
    <w:p w14:paraId="48D95999" w14:textId="77777777" w:rsidR="003B2EA7" w:rsidRDefault="003B2EA7" w:rsidP="00D4566D"/>
    <w:p w14:paraId="554F28B5" w14:textId="19CB05E3" w:rsidR="002D1322" w:rsidRDefault="002D1322" w:rsidP="00D4566D">
      <w:pPr>
        <w:pStyle w:val="ListParagraph"/>
        <w:numPr>
          <w:ilvl w:val="0"/>
          <w:numId w:val="10"/>
        </w:numPr>
      </w:pPr>
      <w:r>
        <w:t>Th</w:t>
      </w:r>
      <w:r w:rsidR="0098491D">
        <w:t xml:space="preserve">ough there continues to be a substantial number of unused medical-surgical beds in the </w:t>
      </w:r>
      <w:r w:rsidR="00962C73">
        <w:t>region, Inova</w:t>
      </w:r>
      <w:r w:rsidR="0098491D">
        <w:t xml:space="preserve"> Fairfax </w:t>
      </w:r>
      <w:proofErr w:type="gramStart"/>
      <w:r w:rsidR="0098491D">
        <w:t>Hospital</w:t>
      </w:r>
      <w:proofErr w:type="gramEnd"/>
      <w:r w:rsidR="0098491D">
        <w:t xml:space="preserve"> the </w:t>
      </w:r>
      <w:r w:rsidR="009F2073">
        <w:t xml:space="preserve">largest </w:t>
      </w:r>
      <w:r w:rsidR="0098491D">
        <w:t>and m</w:t>
      </w:r>
      <w:r w:rsidR="00637B81">
        <w:t>o</w:t>
      </w:r>
      <w:r w:rsidR="002158AB">
        <w:t>st</w:t>
      </w:r>
      <w:r w:rsidR="0098491D">
        <w:t xml:space="preserve"> heavily used </w:t>
      </w:r>
      <w:r w:rsidR="002158AB">
        <w:t>facility</w:t>
      </w:r>
      <w:r w:rsidR="0098491D">
        <w:t xml:space="preserve"> in the regio</w:t>
      </w:r>
      <w:r w:rsidR="002158AB">
        <w:t>n</w:t>
      </w:r>
      <w:r w:rsidR="00FA32EE">
        <w:t>,</w:t>
      </w:r>
      <w:r w:rsidR="0098491D">
        <w:t xml:space="preserve"> </w:t>
      </w:r>
      <w:r w:rsidR="000569E5">
        <w:t>needs additional</w:t>
      </w:r>
      <w:r w:rsidR="0098491D">
        <w:t xml:space="preserve"> beds to accommodate demand</w:t>
      </w:r>
      <w:r w:rsidR="0034075C">
        <w:t xml:space="preserve"> and </w:t>
      </w:r>
      <w:r w:rsidR="004825B3">
        <w:t xml:space="preserve">remain responsive to </w:t>
      </w:r>
      <w:r w:rsidR="00FA32EE">
        <w:t>those</w:t>
      </w:r>
      <w:r w:rsidR="005A1FFA">
        <w:t xml:space="preserve"> it </w:t>
      </w:r>
      <w:proofErr w:type="gramStart"/>
      <w:r w:rsidR="005A1FFA">
        <w:t>serves.</w:t>
      </w:r>
      <w:r w:rsidR="004825B3">
        <w:t>.</w:t>
      </w:r>
      <w:proofErr w:type="gramEnd"/>
      <w:r w:rsidR="0098491D">
        <w:t xml:space="preserve"> </w:t>
      </w:r>
    </w:p>
    <w:p w14:paraId="58D997B2" w14:textId="157D73B0" w:rsidR="003B2EA7" w:rsidRDefault="004825B3" w:rsidP="00D4566D">
      <w:pPr>
        <w:pStyle w:val="ListParagraph"/>
        <w:numPr>
          <w:ilvl w:val="0"/>
          <w:numId w:val="10"/>
        </w:numPr>
      </w:pPr>
      <w:r>
        <w:t>There is no indication that a</w:t>
      </w:r>
      <w:r w:rsidR="002D1322">
        <w:t>ddi</w:t>
      </w:r>
      <w:r w:rsidR="0098491D">
        <w:t xml:space="preserve">ng the </w:t>
      </w:r>
      <w:r w:rsidR="002D1322">
        <w:t xml:space="preserve">beds </w:t>
      </w:r>
      <w:r w:rsidR="0098491D">
        <w:t xml:space="preserve">requested </w:t>
      </w:r>
      <w:r w:rsidR="00536B98">
        <w:t>would</w:t>
      </w:r>
      <w:r w:rsidR="002D1322">
        <w:t xml:space="preserve"> affect operations of other service providers</w:t>
      </w:r>
      <w:r w:rsidR="00174374">
        <w:t>.</w:t>
      </w:r>
    </w:p>
    <w:p w14:paraId="2E9D6FBE" w14:textId="61CA51C3" w:rsidR="003B2EA7" w:rsidRDefault="003B2EA7" w:rsidP="00D4566D">
      <w:pPr>
        <w:pStyle w:val="ListParagraph"/>
        <w:numPr>
          <w:ilvl w:val="0"/>
          <w:numId w:val="10"/>
        </w:numPr>
      </w:pPr>
      <w:r>
        <w:t xml:space="preserve">Projected capital and operating costs are reasonable, and </w:t>
      </w:r>
    </w:p>
    <w:p w14:paraId="68D48AF6" w14:textId="07EC7627" w:rsidR="003B2EA7" w:rsidRDefault="007C0567" w:rsidP="00D4566D">
      <w:pPr>
        <w:pStyle w:val="ListParagraph"/>
        <w:numPr>
          <w:ilvl w:val="0"/>
          <w:numId w:val="10"/>
        </w:numPr>
      </w:pPr>
      <w:r>
        <w:t>T</w:t>
      </w:r>
      <w:r w:rsidR="0098491D">
        <w:t>he p</w:t>
      </w:r>
      <w:r w:rsidR="003B2EA7">
        <w:t>roposal</w:t>
      </w:r>
      <w:r>
        <w:t xml:space="preserve"> is consistent with </w:t>
      </w:r>
      <w:r w:rsidR="002D1322">
        <w:t xml:space="preserve">the </w:t>
      </w:r>
      <w:r w:rsidR="002D1322" w:rsidRPr="0098491D">
        <w:rPr>
          <w:i/>
        </w:rPr>
        <w:t>institutional need</w:t>
      </w:r>
      <w:r w:rsidR="002D1322">
        <w:t xml:space="preserve"> provision</w:t>
      </w:r>
      <w:r w:rsidR="00610F95">
        <w:t>s</w:t>
      </w:r>
      <w:r w:rsidR="002D1322">
        <w:t xml:space="preserve"> of the </w:t>
      </w:r>
      <w:r w:rsidR="003B2EA7">
        <w:t>Virginia State Medical Facilities Plan (SMFP)</w:t>
      </w:r>
      <w:r>
        <w:t xml:space="preserve"> as it is no</w:t>
      </w:r>
      <w:r w:rsidR="00D02AB3">
        <w:t>rmally applied</w:t>
      </w:r>
      <w:r w:rsidR="003B2EA7">
        <w:t>.</w:t>
      </w:r>
    </w:p>
    <w:p w14:paraId="3CE3EF63" w14:textId="77777777" w:rsidR="003B2EA7" w:rsidRDefault="003B2EA7" w:rsidP="00D4566D"/>
    <w:p w14:paraId="0F6371A6" w14:textId="6AF357FA" w:rsidR="003B2EA7" w:rsidRDefault="003B2EA7" w:rsidP="002D1322">
      <w:pPr>
        <w:pStyle w:val="ListParagraph"/>
        <w:numPr>
          <w:ilvl w:val="0"/>
          <w:numId w:val="20"/>
        </w:numPr>
      </w:pPr>
      <w:r>
        <w:t>The Health Systems Agency of Northern Virginia may recommend to the Commissioner of Health that a Certificate of Public Need not be granted.</w:t>
      </w:r>
    </w:p>
    <w:p w14:paraId="750BA81F" w14:textId="77777777" w:rsidR="003B2EA7" w:rsidRDefault="003B2EA7" w:rsidP="00D4566D"/>
    <w:p w14:paraId="5B3D9DA7" w14:textId="1EED1837" w:rsidR="003B2EA7" w:rsidRDefault="009B469C" w:rsidP="005E6EAD">
      <w:pPr>
        <w:ind w:firstLine="720"/>
      </w:pPr>
      <w:r>
        <w:t>An u</w:t>
      </w:r>
      <w:r w:rsidR="003B2EA7">
        <w:t>nfavorable recommendation</w:t>
      </w:r>
      <w:r w:rsidR="00741F6D">
        <w:t xml:space="preserve"> could be based </w:t>
      </w:r>
      <w:r w:rsidR="00D675C0">
        <w:t xml:space="preserve">on </w:t>
      </w:r>
      <w:r w:rsidR="00741F6D">
        <w:t xml:space="preserve">concluding </w:t>
      </w:r>
      <w:r w:rsidR="003B2EA7">
        <w:t>that</w:t>
      </w:r>
      <w:r w:rsidR="00642654">
        <w:t>:</w:t>
      </w:r>
      <w:r w:rsidR="003B2EA7">
        <w:t xml:space="preserve"> </w:t>
      </w:r>
    </w:p>
    <w:p w14:paraId="65D5FB30" w14:textId="77777777" w:rsidR="003B2EA7" w:rsidRDefault="003B2EA7" w:rsidP="00D4566D"/>
    <w:p w14:paraId="0C444CCA" w14:textId="77777777" w:rsidR="005A1FFA" w:rsidRDefault="00E57E25" w:rsidP="00E57E25">
      <w:pPr>
        <w:pStyle w:val="ListParagraph"/>
        <w:numPr>
          <w:ilvl w:val="0"/>
          <w:numId w:val="11"/>
        </w:numPr>
      </w:pPr>
      <w:r>
        <w:t>There is no projected regional need for additional acute care beds within the</w:t>
      </w:r>
      <w:r w:rsidR="005A1FFA">
        <w:t xml:space="preserve"> </w:t>
      </w:r>
      <w:r>
        <w:t>next five years</w:t>
      </w:r>
    </w:p>
    <w:p w14:paraId="283EA4EB" w14:textId="0508EB03" w:rsidR="00E57E25" w:rsidRDefault="00E57E25" w:rsidP="005A1FFA">
      <w:pPr>
        <w:pStyle w:val="ListParagraph"/>
        <w:numPr>
          <w:ilvl w:val="0"/>
          <w:numId w:val="11"/>
        </w:numPr>
      </w:pPr>
      <w:r>
        <w:t>.</w:t>
      </w:r>
    </w:p>
    <w:p w14:paraId="5D125360" w14:textId="36C53C6C" w:rsidR="00D675C0" w:rsidRDefault="00D675C0" w:rsidP="008A35BE">
      <w:pPr>
        <w:pStyle w:val="ListParagraph"/>
        <w:numPr>
          <w:ilvl w:val="0"/>
          <w:numId w:val="11"/>
        </w:numPr>
      </w:pPr>
      <w:r>
        <w:lastRenderedPageBreak/>
        <w:t xml:space="preserve">There are unused </w:t>
      </w:r>
      <w:r w:rsidR="00F91160">
        <w:t>acute care hospital bed</w:t>
      </w:r>
      <w:r w:rsidR="00E57E25">
        <w:t>s</w:t>
      </w:r>
      <w:r w:rsidR="00662491">
        <w:t xml:space="preserve"> in the planning region</w:t>
      </w:r>
      <w:r w:rsidR="00B63185">
        <w:t xml:space="preserve"> that </w:t>
      </w:r>
      <w:r w:rsidR="005A1FFA">
        <w:t>could</w:t>
      </w:r>
      <w:r w:rsidR="00B63185">
        <w:t xml:space="preserve"> be an alternative to the expansion of IFH. </w:t>
      </w:r>
    </w:p>
    <w:p w14:paraId="0A484AFF" w14:textId="77777777" w:rsidR="00D675C0" w:rsidRDefault="00DA5EAA" w:rsidP="00DA5EAA">
      <w:pPr>
        <w:pStyle w:val="ListParagraph"/>
        <w:numPr>
          <w:ilvl w:val="0"/>
          <w:numId w:val="11"/>
        </w:numPr>
      </w:pPr>
      <w:r>
        <w:t>Nor</w:t>
      </w:r>
      <w:r w:rsidR="00F91160">
        <w:t>thern Virginia residents</w:t>
      </w:r>
      <w:r>
        <w:t xml:space="preserve"> have reasonable access to inpatient hosp</w:t>
      </w:r>
      <w:r w:rsidR="00D675C0">
        <w:t>ital care, including the full array of medical-surgical care.</w:t>
      </w:r>
    </w:p>
    <w:p w14:paraId="02678E1B" w14:textId="77777777" w:rsidR="003B2EA7" w:rsidRDefault="003B2EA7" w:rsidP="00D4566D"/>
    <w:p w14:paraId="59C34699" w14:textId="77777777" w:rsidR="00EB7D61" w:rsidRPr="00260ABC" w:rsidRDefault="00EB7D61" w:rsidP="00EB7D61">
      <w:pPr>
        <w:numPr>
          <w:ilvl w:val="12"/>
          <w:numId w:val="0"/>
        </w:numPr>
        <w:rPr>
          <w:szCs w:val="22"/>
        </w:rPr>
      </w:pPr>
      <w:r w:rsidRPr="00260ABC">
        <w:rPr>
          <w:b/>
          <w:szCs w:val="22"/>
        </w:rPr>
        <w:t>IV.</w:t>
      </w:r>
      <w:r w:rsidRPr="00260ABC">
        <w:rPr>
          <w:b/>
          <w:szCs w:val="22"/>
        </w:rPr>
        <w:tab/>
        <w:t xml:space="preserve">Checklist of Mandatory Review Criteria </w:t>
      </w:r>
    </w:p>
    <w:p w14:paraId="33783C8B" w14:textId="77777777" w:rsidR="00EB7D61" w:rsidRPr="00260ABC" w:rsidRDefault="00EB7D61" w:rsidP="00EB7D61">
      <w:pPr>
        <w:pStyle w:val="NormalWeb"/>
        <w:numPr>
          <w:ilvl w:val="2"/>
          <w:numId w:val="15"/>
        </w:numPr>
        <w:ind w:left="720"/>
        <w:rPr>
          <w:b/>
          <w:sz w:val="22"/>
          <w:szCs w:val="22"/>
        </w:rPr>
      </w:pPr>
      <w:r w:rsidRPr="00260ABC">
        <w:rPr>
          <w:b/>
          <w:sz w:val="22"/>
          <w:szCs w:val="22"/>
        </w:rPr>
        <w:t xml:space="preserve">   Maintain or Improve Access to Care</w:t>
      </w:r>
    </w:p>
    <w:p w14:paraId="26B76CA0" w14:textId="6D5AFA93" w:rsidR="00EB7D61" w:rsidRDefault="00EB7D61" w:rsidP="00EB7D61">
      <w:pPr>
        <w:pStyle w:val="BodyText"/>
        <w:ind w:left="720"/>
        <w:rPr>
          <w:szCs w:val="22"/>
        </w:rPr>
      </w:pPr>
      <w:r>
        <w:rPr>
          <w:szCs w:val="22"/>
        </w:rPr>
        <w:t xml:space="preserve">There are </w:t>
      </w:r>
      <w:r w:rsidR="00E57E25">
        <w:rPr>
          <w:szCs w:val="22"/>
        </w:rPr>
        <w:t>eleven</w:t>
      </w:r>
      <w:r w:rsidR="00F91160">
        <w:rPr>
          <w:szCs w:val="22"/>
        </w:rPr>
        <w:t xml:space="preserve"> </w:t>
      </w:r>
      <w:r w:rsidR="003573CF">
        <w:rPr>
          <w:szCs w:val="22"/>
        </w:rPr>
        <w:t xml:space="preserve">widely distributed </w:t>
      </w:r>
      <w:r w:rsidR="00F91160">
        <w:rPr>
          <w:szCs w:val="22"/>
        </w:rPr>
        <w:t xml:space="preserve">acute care community </w:t>
      </w:r>
      <w:r>
        <w:rPr>
          <w:szCs w:val="22"/>
        </w:rPr>
        <w:t xml:space="preserve">hospitals in </w:t>
      </w:r>
      <w:r w:rsidRPr="00260ABC">
        <w:rPr>
          <w:szCs w:val="22"/>
        </w:rPr>
        <w:t>Northern Virginia</w:t>
      </w:r>
      <w:r>
        <w:rPr>
          <w:szCs w:val="22"/>
        </w:rPr>
        <w:t xml:space="preserve">. These </w:t>
      </w:r>
      <w:r w:rsidR="008A35BE">
        <w:rPr>
          <w:szCs w:val="22"/>
        </w:rPr>
        <w:t>facilities</w:t>
      </w:r>
      <w:r>
        <w:rPr>
          <w:szCs w:val="22"/>
        </w:rPr>
        <w:t xml:space="preserve"> are </w:t>
      </w:r>
      <w:r w:rsidR="00B631F4">
        <w:rPr>
          <w:szCs w:val="22"/>
        </w:rPr>
        <w:t>located</w:t>
      </w:r>
      <w:r>
        <w:rPr>
          <w:szCs w:val="22"/>
        </w:rPr>
        <w:t xml:space="preserve"> such that virtually all Northern Virginia residents </w:t>
      </w:r>
      <w:r w:rsidRPr="00260ABC">
        <w:rPr>
          <w:szCs w:val="22"/>
        </w:rPr>
        <w:t xml:space="preserve">have ready access to multiple </w:t>
      </w:r>
      <w:r w:rsidR="00636602">
        <w:rPr>
          <w:szCs w:val="22"/>
        </w:rPr>
        <w:t>facilities</w:t>
      </w:r>
      <w:r w:rsidRPr="00260ABC">
        <w:rPr>
          <w:szCs w:val="22"/>
        </w:rPr>
        <w:t xml:space="preserve">. </w:t>
      </w:r>
      <w:r w:rsidR="00636602">
        <w:rPr>
          <w:szCs w:val="22"/>
        </w:rPr>
        <w:t>Expanding IFH</w:t>
      </w:r>
      <w:r w:rsidR="00791159">
        <w:rPr>
          <w:szCs w:val="22"/>
        </w:rPr>
        <w:t xml:space="preserve"> </w:t>
      </w:r>
      <w:r w:rsidRPr="00260ABC">
        <w:rPr>
          <w:szCs w:val="22"/>
        </w:rPr>
        <w:t xml:space="preserve">would </w:t>
      </w:r>
      <w:r w:rsidR="00636602">
        <w:rPr>
          <w:szCs w:val="22"/>
        </w:rPr>
        <w:t xml:space="preserve">not </w:t>
      </w:r>
      <w:r w:rsidRPr="00260ABC">
        <w:rPr>
          <w:szCs w:val="22"/>
        </w:rPr>
        <w:t xml:space="preserve">alter </w:t>
      </w:r>
      <w:r w:rsidR="006C5866">
        <w:rPr>
          <w:szCs w:val="22"/>
        </w:rPr>
        <w:t>the</w:t>
      </w:r>
      <w:r w:rsidRPr="00260ABC">
        <w:rPr>
          <w:szCs w:val="22"/>
        </w:rPr>
        <w:t xml:space="preserve"> underlying </w:t>
      </w:r>
      <w:r w:rsidR="00EC2A0E">
        <w:rPr>
          <w:szCs w:val="22"/>
        </w:rPr>
        <w:t xml:space="preserve">structure and </w:t>
      </w:r>
      <w:r w:rsidR="000A2979">
        <w:rPr>
          <w:szCs w:val="22"/>
        </w:rPr>
        <w:t>associated operations</w:t>
      </w:r>
      <w:r w:rsidRPr="00260ABC">
        <w:rPr>
          <w:szCs w:val="22"/>
        </w:rPr>
        <w:t xml:space="preserve"> </w:t>
      </w:r>
      <w:r w:rsidR="006C5866">
        <w:rPr>
          <w:szCs w:val="22"/>
        </w:rPr>
        <w:t>of the local</w:t>
      </w:r>
      <w:r w:rsidR="005320F9">
        <w:rPr>
          <w:szCs w:val="22"/>
        </w:rPr>
        <w:t xml:space="preserve"> </w:t>
      </w:r>
      <w:r w:rsidR="006C1093">
        <w:rPr>
          <w:szCs w:val="22"/>
        </w:rPr>
        <w:t>inpatient care</w:t>
      </w:r>
      <w:r w:rsidR="005320F9">
        <w:rPr>
          <w:szCs w:val="22"/>
        </w:rPr>
        <w:t xml:space="preserve"> delivery system </w:t>
      </w:r>
      <w:r w:rsidRPr="00260ABC">
        <w:rPr>
          <w:szCs w:val="22"/>
        </w:rPr>
        <w:t xml:space="preserve">in any meaningful way. </w:t>
      </w:r>
    </w:p>
    <w:p w14:paraId="3F93E88B" w14:textId="77777777" w:rsidR="000A2979" w:rsidRDefault="000A2979" w:rsidP="00EB7D61">
      <w:pPr>
        <w:pStyle w:val="BodyText"/>
        <w:ind w:left="720"/>
        <w:rPr>
          <w:szCs w:val="22"/>
        </w:rPr>
      </w:pPr>
    </w:p>
    <w:p w14:paraId="287F765A" w14:textId="4841FB6B" w:rsidR="000A2979" w:rsidRDefault="000A2979" w:rsidP="00EB7D61">
      <w:pPr>
        <w:pStyle w:val="BodyText"/>
        <w:ind w:left="720"/>
        <w:rPr>
          <w:szCs w:val="22"/>
        </w:rPr>
      </w:pPr>
      <w:r>
        <w:rPr>
          <w:szCs w:val="22"/>
        </w:rPr>
        <w:t>The project</w:t>
      </w:r>
      <w:r w:rsidR="00D378EC">
        <w:rPr>
          <w:szCs w:val="22"/>
        </w:rPr>
        <w:t>, about a ten percent increase in Inova Fairfax Hospita</w:t>
      </w:r>
      <w:r w:rsidR="000B2F21">
        <w:rPr>
          <w:szCs w:val="22"/>
        </w:rPr>
        <w:t xml:space="preserve">l’s adult medical-surgical capacity, </w:t>
      </w:r>
      <w:r w:rsidR="001370B4">
        <w:rPr>
          <w:szCs w:val="22"/>
        </w:rPr>
        <w:t xml:space="preserve">appears to be essential to permit continued efficient </w:t>
      </w:r>
      <w:r w:rsidR="0015098A">
        <w:rPr>
          <w:szCs w:val="22"/>
        </w:rPr>
        <w:t>operations.</w:t>
      </w:r>
    </w:p>
    <w:p w14:paraId="70AA7A2C" w14:textId="77777777" w:rsidR="00EB7D61" w:rsidRDefault="00EB7D61" w:rsidP="00636602">
      <w:pPr>
        <w:pStyle w:val="BodyText"/>
        <w:rPr>
          <w:szCs w:val="22"/>
        </w:rPr>
      </w:pPr>
    </w:p>
    <w:p w14:paraId="571DD462" w14:textId="70B538C3" w:rsidR="00EB7D61" w:rsidRPr="00260ABC" w:rsidRDefault="00F91160" w:rsidP="00EB7D61">
      <w:pPr>
        <w:pStyle w:val="BodyText"/>
        <w:ind w:left="720"/>
        <w:rPr>
          <w:szCs w:val="22"/>
        </w:rPr>
      </w:pPr>
      <w:r>
        <w:rPr>
          <w:szCs w:val="22"/>
        </w:rPr>
        <w:t xml:space="preserve">Inova </w:t>
      </w:r>
      <w:r w:rsidR="00EB7D61">
        <w:rPr>
          <w:szCs w:val="22"/>
        </w:rPr>
        <w:t>ha</w:t>
      </w:r>
      <w:r w:rsidR="00636602">
        <w:rPr>
          <w:szCs w:val="22"/>
        </w:rPr>
        <w:t>s</w:t>
      </w:r>
      <w:r w:rsidR="00EB7D61">
        <w:rPr>
          <w:szCs w:val="22"/>
        </w:rPr>
        <w:t xml:space="preserve"> acceptable charity care policies and practices. There would be no material change in access to care among uninsured and low-income residents.</w:t>
      </w:r>
    </w:p>
    <w:p w14:paraId="2E698ABF" w14:textId="291F6059" w:rsidR="00EB7D61" w:rsidRPr="00260ABC" w:rsidRDefault="00EB7D61" w:rsidP="00EB7D61">
      <w:pPr>
        <w:pStyle w:val="NormalWeb"/>
        <w:numPr>
          <w:ilvl w:val="0"/>
          <w:numId w:val="15"/>
        </w:numPr>
        <w:ind w:left="720"/>
        <w:rPr>
          <w:b/>
          <w:iCs/>
          <w:sz w:val="22"/>
          <w:szCs w:val="22"/>
        </w:rPr>
      </w:pPr>
      <w:r w:rsidRPr="00260ABC">
        <w:rPr>
          <w:b/>
          <w:iCs/>
          <w:sz w:val="22"/>
          <w:szCs w:val="22"/>
        </w:rPr>
        <w:t xml:space="preserve">  </w:t>
      </w:r>
      <w:r w:rsidR="0015098A">
        <w:rPr>
          <w:b/>
          <w:iCs/>
          <w:sz w:val="22"/>
          <w:szCs w:val="22"/>
        </w:rPr>
        <w:t xml:space="preserve"> </w:t>
      </w:r>
      <w:proofErr w:type="gramStart"/>
      <w:r w:rsidRPr="00260ABC">
        <w:rPr>
          <w:b/>
          <w:iCs/>
          <w:sz w:val="22"/>
          <w:szCs w:val="22"/>
        </w:rPr>
        <w:t>Meet</w:t>
      </w:r>
      <w:proofErr w:type="gramEnd"/>
      <w:r w:rsidRPr="00260ABC">
        <w:rPr>
          <w:b/>
          <w:iCs/>
          <w:sz w:val="22"/>
          <w:szCs w:val="22"/>
        </w:rPr>
        <w:t xml:space="preserve"> </w:t>
      </w:r>
      <w:r w:rsidR="0015098A">
        <w:rPr>
          <w:b/>
          <w:iCs/>
          <w:sz w:val="22"/>
          <w:szCs w:val="22"/>
        </w:rPr>
        <w:t xml:space="preserve">the </w:t>
      </w:r>
      <w:r w:rsidRPr="00260ABC">
        <w:rPr>
          <w:b/>
          <w:iCs/>
          <w:sz w:val="22"/>
          <w:szCs w:val="22"/>
        </w:rPr>
        <w:t xml:space="preserve">Needs of Residents </w:t>
      </w:r>
    </w:p>
    <w:p w14:paraId="21FC7E61" w14:textId="36C6B334" w:rsidR="00197995" w:rsidRDefault="008A35BE" w:rsidP="00EB7D61">
      <w:pPr>
        <w:pStyle w:val="NormalWeb"/>
        <w:ind w:left="720"/>
        <w:rPr>
          <w:sz w:val="22"/>
          <w:szCs w:val="22"/>
        </w:rPr>
      </w:pPr>
      <w:r>
        <w:rPr>
          <w:sz w:val="22"/>
          <w:szCs w:val="22"/>
        </w:rPr>
        <w:t xml:space="preserve">Inova </w:t>
      </w:r>
      <w:r w:rsidR="00636602">
        <w:rPr>
          <w:sz w:val="22"/>
          <w:szCs w:val="22"/>
        </w:rPr>
        <w:t>is an</w:t>
      </w:r>
      <w:r w:rsidR="00EB7D61">
        <w:rPr>
          <w:sz w:val="22"/>
          <w:szCs w:val="22"/>
        </w:rPr>
        <w:t xml:space="preserve"> established pr</w:t>
      </w:r>
      <w:r w:rsidR="00317816">
        <w:rPr>
          <w:sz w:val="22"/>
          <w:szCs w:val="22"/>
        </w:rPr>
        <w:t>ovide</w:t>
      </w:r>
      <w:r w:rsidR="00636602">
        <w:rPr>
          <w:sz w:val="22"/>
          <w:szCs w:val="22"/>
        </w:rPr>
        <w:t>r</w:t>
      </w:r>
      <w:r w:rsidR="00317816">
        <w:rPr>
          <w:sz w:val="22"/>
          <w:szCs w:val="22"/>
        </w:rPr>
        <w:t xml:space="preserve"> of acute care hospital service</w:t>
      </w:r>
      <w:r w:rsidR="00B631F4">
        <w:rPr>
          <w:sz w:val="22"/>
          <w:szCs w:val="22"/>
        </w:rPr>
        <w:t>s</w:t>
      </w:r>
      <w:r>
        <w:rPr>
          <w:sz w:val="22"/>
          <w:szCs w:val="22"/>
        </w:rPr>
        <w:t xml:space="preserve"> with </w:t>
      </w:r>
      <w:r w:rsidR="002A694F">
        <w:rPr>
          <w:sz w:val="22"/>
          <w:szCs w:val="22"/>
        </w:rPr>
        <w:t xml:space="preserve">a </w:t>
      </w:r>
      <w:r>
        <w:rPr>
          <w:sz w:val="22"/>
          <w:szCs w:val="22"/>
        </w:rPr>
        <w:t>well-</w:t>
      </w:r>
      <w:r w:rsidR="00317816">
        <w:rPr>
          <w:sz w:val="22"/>
          <w:szCs w:val="22"/>
        </w:rPr>
        <w:t xml:space="preserve">defined service area. </w:t>
      </w:r>
      <w:r w:rsidR="00636602">
        <w:rPr>
          <w:sz w:val="22"/>
          <w:szCs w:val="22"/>
        </w:rPr>
        <w:t>It</w:t>
      </w:r>
      <w:r>
        <w:rPr>
          <w:sz w:val="22"/>
          <w:szCs w:val="22"/>
        </w:rPr>
        <w:t xml:space="preserve"> serve</w:t>
      </w:r>
      <w:r w:rsidR="00636602">
        <w:rPr>
          <w:sz w:val="22"/>
          <w:szCs w:val="22"/>
        </w:rPr>
        <w:t>s</w:t>
      </w:r>
      <w:r>
        <w:rPr>
          <w:sz w:val="22"/>
          <w:szCs w:val="22"/>
        </w:rPr>
        <w:t xml:space="preserve"> large numbers of </w:t>
      </w:r>
      <w:r w:rsidR="00AD37ED">
        <w:rPr>
          <w:sz w:val="22"/>
          <w:szCs w:val="22"/>
        </w:rPr>
        <w:t>n</w:t>
      </w:r>
      <w:r>
        <w:rPr>
          <w:sz w:val="22"/>
          <w:szCs w:val="22"/>
        </w:rPr>
        <w:t>orthern Virginia</w:t>
      </w:r>
      <w:r w:rsidR="003573CF">
        <w:rPr>
          <w:sz w:val="22"/>
          <w:szCs w:val="22"/>
        </w:rPr>
        <w:t>ns</w:t>
      </w:r>
      <w:r>
        <w:rPr>
          <w:sz w:val="22"/>
          <w:szCs w:val="22"/>
        </w:rPr>
        <w:t xml:space="preserve"> and </w:t>
      </w:r>
      <w:r w:rsidR="00F46236">
        <w:rPr>
          <w:sz w:val="22"/>
          <w:szCs w:val="22"/>
        </w:rPr>
        <w:t>is</w:t>
      </w:r>
      <w:r>
        <w:rPr>
          <w:sz w:val="22"/>
          <w:szCs w:val="22"/>
        </w:rPr>
        <w:t xml:space="preserve"> highly regarded. </w:t>
      </w:r>
    </w:p>
    <w:p w14:paraId="6E892388" w14:textId="3CF2FA95" w:rsidR="00C033ED" w:rsidRDefault="008A35BE" w:rsidP="00EB7D61">
      <w:pPr>
        <w:pStyle w:val="NormalWeb"/>
        <w:ind w:left="720"/>
        <w:rPr>
          <w:bCs/>
          <w:sz w:val="22"/>
        </w:rPr>
      </w:pPr>
      <w:r>
        <w:rPr>
          <w:sz w:val="22"/>
          <w:szCs w:val="22"/>
        </w:rPr>
        <w:t>An incremental increase i</w:t>
      </w:r>
      <w:r w:rsidR="00F46236">
        <w:rPr>
          <w:sz w:val="22"/>
          <w:szCs w:val="22"/>
        </w:rPr>
        <w:t>n</w:t>
      </w:r>
      <w:r>
        <w:rPr>
          <w:sz w:val="22"/>
          <w:szCs w:val="22"/>
        </w:rPr>
        <w:t xml:space="preserve"> capacity would not change the</w:t>
      </w:r>
      <w:r w:rsidR="00F46236">
        <w:rPr>
          <w:sz w:val="22"/>
          <w:szCs w:val="22"/>
        </w:rPr>
        <w:t xml:space="preserve"> IFH</w:t>
      </w:r>
      <w:r>
        <w:rPr>
          <w:sz w:val="22"/>
          <w:szCs w:val="22"/>
        </w:rPr>
        <w:t xml:space="preserve"> service area</w:t>
      </w:r>
      <w:r w:rsidR="00F46236">
        <w:rPr>
          <w:sz w:val="22"/>
          <w:szCs w:val="22"/>
        </w:rPr>
        <w:t xml:space="preserve"> </w:t>
      </w:r>
      <w:r>
        <w:rPr>
          <w:sz w:val="22"/>
          <w:szCs w:val="22"/>
        </w:rPr>
        <w:t xml:space="preserve">or </w:t>
      </w:r>
      <w:r w:rsidR="00317816">
        <w:rPr>
          <w:sz w:val="22"/>
          <w:szCs w:val="22"/>
        </w:rPr>
        <w:t>alter in any mean</w:t>
      </w:r>
      <w:r w:rsidR="003573CF">
        <w:rPr>
          <w:sz w:val="22"/>
          <w:szCs w:val="22"/>
        </w:rPr>
        <w:t xml:space="preserve">ingful way </w:t>
      </w:r>
      <w:r w:rsidR="00F46236">
        <w:rPr>
          <w:sz w:val="22"/>
          <w:szCs w:val="22"/>
        </w:rPr>
        <w:t>its</w:t>
      </w:r>
      <w:r w:rsidR="003573CF">
        <w:rPr>
          <w:sz w:val="22"/>
          <w:szCs w:val="22"/>
        </w:rPr>
        <w:t xml:space="preserve"> service to</w:t>
      </w:r>
      <w:r w:rsidR="00EB7D61">
        <w:rPr>
          <w:sz w:val="22"/>
          <w:szCs w:val="22"/>
        </w:rPr>
        <w:t xml:space="preserve"> </w:t>
      </w:r>
      <w:r w:rsidR="00197995">
        <w:rPr>
          <w:sz w:val="22"/>
          <w:szCs w:val="22"/>
        </w:rPr>
        <w:t>local communities</w:t>
      </w:r>
      <w:r w:rsidR="00EB7D61">
        <w:rPr>
          <w:sz w:val="22"/>
          <w:szCs w:val="22"/>
        </w:rPr>
        <w:t xml:space="preserve">. </w:t>
      </w:r>
      <w:r w:rsidR="00317816">
        <w:rPr>
          <w:sz w:val="22"/>
          <w:szCs w:val="22"/>
        </w:rPr>
        <w:t xml:space="preserve">There is no indication that </w:t>
      </w:r>
      <w:r w:rsidR="00F46236">
        <w:rPr>
          <w:sz w:val="22"/>
          <w:szCs w:val="22"/>
        </w:rPr>
        <w:t xml:space="preserve">Inova </w:t>
      </w:r>
      <w:r w:rsidR="00631078">
        <w:rPr>
          <w:sz w:val="22"/>
          <w:szCs w:val="22"/>
        </w:rPr>
        <w:t xml:space="preserve">health System </w:t>
      </w:r>
      <w:r w:rsidR="00F46236">
        <w:rPr>
          <w:sz w:val="22"/>
          <w:szCs w:val="22"/>
        </w:rPr>
        <w:t>and I</w:t>
      </w:r>
      <w:r w:rsidR="00631078">
        <w:rPr>
          <w:sz w:val="22"/>
          <w:szCs w:val="22"/>
        </w:rPr>
        <w:t xml:space="preserve">nova </w:t>
      </w:r>
      <w:r w:rsidR="00F46236">
        <w:rPr>
          <w:sz w:val="22"/>
          <w:szCs w:val="22"/>
        </w:rPr>
        <w:t>F</w:t>
      </w:r>
      <w:r w:rsidR="00631078">
        <w:rPr>
          <w:sz w:val="22"/>
          <w:szCs w:val="22"/>
        </w:rPr>
        <w:t xml:space="preserve">airfax </w:t>
      </w:r>
      <w:r w:rsidR="00F46236">
        <w:rPr>
          <w:sz w:val="22"/>
          <w:szCs w:val="22"/>
        </w:rPr>
        <w:t>H</w:t>
      </w:r>
      <w:r w:rsidR="00754E40">
        <w:rPr>
          <w:sz w:val="22"/>
          <w:szCs w:val="22"/>
        </w:rPr>
        <w:t>ospital</w:t>
      </w:r>
      <w:r w:rsidR="00197995">
        <w:rPr>
          <w:sz w:val="22"/>
          <w:szCs w:val="22"/>
        </w:rPr>
        <w:t xml:space="preserve"> </w:t>
      </w:r>
      <w:r w:rsidR="00F46236">
        <w:rPr>
          <w:sz w:val="22"/>
          <w:szCs w:val="22"/>
        </w:rPr>
        <w:t>are</w:t>
      </w:r>
      <w:r w:rsidR="00197995">
        <w:rPr>
          <w:sz w:val="22"/>
          <w:szCs w:val="22"/>
        </w:rPr>
        <w:t xml:space="preserve"> </w:t>
      </w:r>
      <w:r w:rsidR="00317816">
        <w:rPr>
          <w:sz w:val="22"/>
          <w:szCs w:val="22"/>
        </w:rPr>
        <w:t xml:space="preserve">not </w:t>
      </w:r>
      <w:r w:rsidR="00197995">
        <w:rPr>
          <w:sz w:val="22"/>
          <w:szCs w:val="22"/>
        </w:rPr>
        <w:t>trying to meet</w:t>
      </w:r>
      <w:r w:rsidR="00B631F4">
        <w:rPr>
          <w:sz w:val="22"/>
          <w:szCs w:val="22"/>
        </w:rPr>
        <w:t xml:space="preserve"> t</w:t>
      </w:r>
      <w:r w:rsidR="00EB7D61" w:rsidRPr="00443582">
        <w:rPr>
          <w:sz w:val="22"/>
          <w:szCs w:val="22"/>
        </w:rPr>
        <w:t xml:space="preserve">he needs of the communities and populations </w:t>
      </w:r>
      <w:r w:rsidR="00EB7D61">
        <w:rPr>
          <w:sz w:val="22"/>
          <w:szCs w:val="22"/>
        </w:rPr>
        <w:t>they</w:t>
      </w:r>
      <w:r w:rsidR="00EB7D61" w:rsidRPr="00443582">
        <w:rPr>
          <w:sz w:val="22"/>
          <w:szCs w:val="22"/>
        </w:rPr>
        <w:t xml:space="preserve"> serve. </w:t>
      </w:r>
    </w:p>
    <w:p w14:paraId="1E24FF83" w14:textId="77777777" w:rsidR="00197995" w:rsidRPr="00197995" w:rsidRDefault="00EB7D61" w:rsidP="0093399C">
      <w:pPr>
        <w:pStyle w:val="NormalWeb"/>
        <w:numPr>
          <w:ilvl w:val="0"/>
          <w:numId w:val="15"/>
        </w:numPr>
        <w:ind w:left="720"/>
        <w:rPr>
          <w:iCs/>
          <w:sz w:val="22"/>
          <w:szCs w:val="22"/>
        </w:rPr>
      </w:pPr>
      <w:r w:rsidRPr="00197995">
        <w:rPr>
          <w:b/>
          <w:iCs/>
          <w:sz w:val="22"/>
          <w:szCs w:val="22"/>
        </w:rPr>
        <w:t xml:space="preserve">   Consistency with Virginia State Medical Facilities Plan (SMFP)</w:t>
      </w:r>
    </w:p>
    <w:p w14:paraId="0C6AF5AC" w14:textId="5D1B7423" w:rsidR="00EF418B" w:rsidRPr="00197995" w:rsidRDefault="00197995" w:rsidP="00197995">
      <w:pPr>
        <w:pStyle w:val="NormalWeb"/>
        <w:ind w:left="720"/>
        <w:rPr>
          <w:iCs/>
          <w:sz w:val="22"/>
          <w:szCs w:val="22"/>
        </w:rPr>
      </w:pPr>
      <w:r>
        <w:rPr>
          <w:iCs/>
          <w:sz w:val="22"/>
          <w:szCs w:val="22"/>
        </w:rPr>
        <w:t xml:space="preserve">Inova </w:t>
      </w:r>
      <w:r w:rsidR="00EF418B" w:rsidRPr="00197995">
        <w:rPr>
          <w:iCs/>
          <w:sz w:val="22"/>
          <w:szCs w:val="22"/>
        </w:rPr>
        <w:t>seek</w:t>
      </w:r>
      <w:r w:rsidR="00FF6CB5">
        <w:rPr>
          <w:iCs/>
          <w:sz w:val="22"/>
          <w:szCs w:val="22"/>
        </w:rPr>
        <w:t>s</w:t>
      </w:r>
      <w:r w:rsidR="00EF418B" w:rsidRPr="00197995">
        <w:rPr>
          <w:iCs/>
          <w:sz w:val="22"/>
          <w:szCs w:val="22"/>
        </w:rPr>
        <w:t xml:space="preserve"> authorization to add </w:t>
      </w:r>
      <w:r>
        <w:rPr>
          <w:iCs/>
          <w:sz w:val="22"/>
          <w:szCs w:val="22"/>
        </w:rPr>
        <w:t>medical-surgical</w:t>
      </w:r>
      <w:r w:rsidR="00EF418B" w:rsidRPr="00197995">
        <w:rPr>
          <w:iCs/>
          <w:sz w:val="22"/>
          <w:szCs w:val="22"/>
        </w:rPr>
        <w:t xml:space="preserve"> beds under the </w:t>
      </w:r>
      <w:r w:rsidR="00EF418B" w:rsidRPr="00197995">
        <w:rPr>
          <w:i/>
          <w:iCs/>
          <w:sz w:val="22"/>
          <w:szCs w:val="22"/>
        </w:rPr>
        <w:t>institutional need</w:t>
      </w:r>
      <w:r w:rsidR="00CD66FE">
        <w:rPr>
          <w:iCs/>
          <w:sz w:val="22"/>
          <w:szCs w:val="22"/>
        </w:rPr>
        <w:t xml:space="preserve"> </w:t>
      </w:r>
      <w:r w:rsidR="00EF418B" w:rsidRPr="00197995">
        <w:rPr>
          <w:iCs/>
          <w:sz w:val="22"/>
          <w:szCs w:val="22"/>
        </w:rPr>
        <w:t xml:space="preserve">provision of the Virginia State Medical Facilities Plan.  </w:t>
      </w:r>
      <w:r w:rsidR="00FE6614">
        <w:rPr>
          <w:iCs/>
          <w:sz w:val="22"/>
          <w:szCs w:val="22"/>
        </w:rPr>
        <w:t xml:space="preserve">It does not </w:t>
      </w:r>
      <w:r w:rsidR="0015098A">
        <w:rPr>
          <w:iCs/>
          <w:sz w:val="22"/>
          <w:szCs w:val="22"/>
        </w:rPr>
        <w:t>assert</w:t>
      </w:r>
      <w:r w:rsidR="00EF418B" w:rsidRPr="00197995">
        <w:rPr>
          <w:iCs/>
          <w:sz w:val="22"/>
          <w:szCs w:val="22"/>
        </w:rPr>
        <w:t xml:space="preserve"> a general regional need for additional inpatient capacity. </w:t>
      </w:r>
      <w:r w:rsidR="002640E2">
        <w:rPr>
          <w:iCs/>
          <w:sz w:val="22"/>
          <w:szCs w:val="22"/>
        </w:rPr>
        <w:t>Current and project</w:t>
      </w:r>
      <w:r w:rsidR="00FC2624">
        <w:rPr>
          <w:iCs/>
          <w:sz w:val="22"/>
          <w:szCs w:val="22"/>
        </w:rPr>
        <w:t>ed IFH</w:t>
      </w:r>
      <w:r w:rsidR="002640E2">
        <w:rPr>
          <w:iCs/>
          <w:sz w:val="22"/>
          <w:szCs w:val="22"/>
        </w:rPr>
        <w:t xml:space="preserve"> service volumes</w:t>
      </w:r>
      <w:r w:rsidR="006E36CD">
        <w:rPr>
          <w:iCs/>
          <w:sz w:val="22"/>
          <w:szCs w:val="22"/>
        </w:rPr>
        <w:t xml:space="preserve">, and the </w:t>
      </w:r>
      <w:r w:rsidR="00C41EAE">
        <w:rPr>
          <w:iCs/>
          <w:sz w:val="22"/>
          <w:szCs w:val="22"/>
        </w:rPr>
        <w:t xml:space="preserve">absence </w:t>
      </w:r>
      <w:r w:rsidR="006E36CD">
        <w:rPr>
          <w:iCs/>
          <w:sz w:val="22"/>
          <w:szCs w:val="22"/>
        </w:rPr>
        <w:t>of unused capacity within Inova Health System</w:t>
      </w:r>
      <w:r w:rsidR="00C41EAE">
        <w:rPr>
          <w:iCs/>
          <w:sz w:val="22"/>
          <w:szCs w:val="22"/>
        </w:rPr>
        <w:t xml:space="preserve"> facilities</w:t>
      </w:r>
      <w:r w:rsidR="00E80ABC">
        <w:rPr>
          <w:iCs/>
          <w:sz w:val="22"/>
          <w:szCs w:val="22"/>
        </w:rPr>
        <w:t xml:space="preserve"> that </w:t>
      </w:r>
      <w:r w:rsidR="00CA3187">
        <w:rPr>
          <w:iCs/>
          <w:sz w:val="22"/>
          <w:szCs w:val="22"/>
        </w:rPr>
        <w:t xml:space="preserve">could be reallocated to respond to increasing IFH demand, qualify </w:t>
      </w:r>
      <w:r w:rsidR="008F2215">
        <w:rPr>
          <w:iCs/>
          <w:sz w:val="22"/>
          <w:szCs w:val="22"/>
        </w:rPr>
        <w:t xml:space="preserve">the proposal for consideration </w:t>
      </w:r>
      <w:r w:rsidR="008F2215" w:rsidRPr="0023742E">
        <w:rPr>
          <w:iCs/>
          <w:sz w:val="22"/>
          <w:szCs w:val="22"/>
        </w:rPr>
        <w:t xml:space="preserve">under Section </w:t>
      </w:r>
      <w:r w:rsidR="0023742E" w:rsidRPr="0023742E">
        <w:rPr>
          <w:color w:val="000000" w:themeColor="text1"/>
        </w:rPr>
        <w:t>12VAC5-230-80(A)</w:t>
      </w:r>
      <w:r w:rsidR="008F2215" w:rsidRPr="0023742E">
        <w:rPr>
          <w:iCs/>
          <w:sz w:val="22"/>
          <w:szCs w:val="22"/>
        </w:rPr>
        <w:t xml:space="preserve"> of the</w:t>
      </w:r>
      <w:r w:rsidR="008F2215">
        <w:rPr>
          <w:iCs/>
          <w:sz w:val="22"/>
          <w:szCs w:val="22"/>
        </w:rPr>
        <w:t xml:space="preserve"> </w:t>
      </w:r>
      <w:r w:rsidR="00B73602">
        <w:rPr>
          <w:iCs/>
          <w:sz w:val="22"/>
          <w:szCs w:val="22"/>
        </w:rPr>
        <w:t>SMFP</w:t>
      </w:r>
      <w:r w:rsidR="0023742E">
        <w:rPr>
          <w:iCs/>
          <w:sz w:val="22"/>
          <w:szCs w:val="22"/>
        </w:rPr>
        <w:t>.</w:t>
      </w:r>
    </w:p>
    <w:p w14:paraId="068B7293" w14:textId="77777777" w:rsidR="00E801E4" w:rsidRDefault="00E801E4" w:rsidP="002F3114">
      <w:pPr>
        <w:pStyle w:val="NormalWeb"/>
        <w:ind w:left="720"/>
        <w:rPr>
          <w:iCs/>
          <w:sz w:val="22"/>
          <w:szCs w:val="22"/>
        </w:rPr>
      </w:pPr>
    </w:p>
    <w:p w14:paraId="404E5D18" w14:textId="77777777" w:rsidR="00E801E4" w:rsidRDefault="00E801E4" w:rsidP="002F3114">
      <w:pPr>
        <w:pStyle w:val="NormalWeb"/>
        <w:ind w:left="720"/>
        <w:rPr>
          <w:iCs/>
          <w:sz w:val="22"/>
          <w:szCs w:val="22"/>
        </w:rPr>
      </w:pPr>
    </w:p>
    <w:p w14:paraId="088D57C1" w14:textId="2EB71286" w:rsidR="00440AA7" w:rsidRDefault="00BC6DCA" w:rsidP="002F3114">
      <w:pPr>
        <w:pStyle w:val="NormalWeb"/>
        <w:ind w:left="720"/>
        <w:rPr>
          <w:iCs/>
          <w:sz w:val="22"/>
          <w:szCs w:val="22"/>
        </w:rPr>
      </w:pPr>
      <w:r w:rsidRPr="00BC6DCA">
        <w:rPr>
          <w:iCs/>
          <w:sz w:val="22"/>
          <w:szCs w:val="22"/>
        </w:rPr>
        <w:lastRenderedPageBreak/>
        <w:t>T</w:t>
      </w:r>
      <w:r w:rsidR="008C6BB8" w:rsidRPr="00BC6DCA">
        <w:rPr>
          <w:iCs/>
          <w:sz w:val="22"/>
          <w:szCs w:val="22"/>
        </w:rPr>
        <w:t xml:space="preserve">he proposal takes fully into account the pending replacement of Inova Alexandria Hospital with smaller facilities </w:t>
      </w:r>
      <w:r w:rsidR="00D20C77" w:rsidRPr="00BC6DCA">
        <w:rPr>
          <w:iCs/>
          <w:sz w:val="22"/>
          <w:szCs w:val="22"/>
        </w:rPr>
        <w:t>at Landmark and in Springfield, VA</w:t>
      </w:r>
      <w:r w:rsidR="009860AE" w:rsidRPr="00BC6DCA">
        <w:rPr>
          <w:iCs/>
          <w:sz w:val="22"/>
          <w:szCs w:val="22"/>
        </w:rPr>
        <w:t xml:space="preserve"> and the </w:t>
      </w:r>
      <w:r w:rsidR="003B6743" w:rsidRPr="00BC6DCA">
        <w:rPr>
          <w:iCs/>
          <w:sz w:val="22"/>
          <w:szCs w:val="22"/>
        </w:rPr>
        <w:t>redirection of patients who would otherwise use I</w:t>
      </w:r>
      <w:r w:rsidR="00E7279B" w:rsidRPr="00BC6DCA">
        <w:rPr>
          <w:iCs/>
          <w:sz w:val="22"/>
          <w:szCs w:val="22"/>
        </w:rPr>
        <w:t xml:space="preserve">FH to those hospitals. </w:t>
      </w:r>
      <w:r w:rsidR="00775821" w:rsidRPr="00BC6DCA">
        <w:rPr>
          <w:iCs/>
          <w:sz w:val="22"/>
          <w:szCs w:val="22"/>
        </w:rPr>
        <w:t>Likewise</w:t>
      </w:r>
      <w:r w:rsidR="001023FC" w:rsidRPr="00BC6DCA">
        <w:rPr>
          <w:iCs/>
          <w:sz w:val="22"/>
          <w:szCs w:val="22"/>
        </w:rPr>
        <w:t xml:space="preserve">, </w:t>
      </w:r>
      <w:r w:rsidR="00C7387C" w:rsidRPr="00BC6DCA">
        <w:rPr>
          <w:iCs/>
          <w:sz w:val="22"/>
          <w:szCs w:val="22"/>
        </w:rPr>
        <w:t xml:space="preserve">changes underway at Inova Mount Vernon Hospital </w:t>
      </w:r>
      <w:r w:rsidR="00440AA7" w:rsidRPr="00BC6DCA">
        <w:rPr>
          <w:iCs/>
          <w:sz w:val="22"/>
          <w:szCs w:val="22"/>
        </w:rPr>
        <w:t>should result in eff</w:t>
      </w:r>
      <w:r w:rsidR="002F3114" w:rsidRPr="00BC6DCA">
        <w:rPr>
          <w:iCs/>
          <w:sz w:val="22"/>
          <w:szCs w:val="22"/>
        </w:rPr>
        <w:t>icient use of its licensed capacity.</w:t>
      </w:r>
      <w:r>
        <w:rPr>
          <w:iCs/>
          <w:sz w:val="22"/>
          <w:szCs w:val="22"/>
        </w:rPr>
        <w:t xml:space="preserve"> There are no</w:t>
      </w:r>
      <w:r w:rsidR="00BC14A4">
        <w:rPr>
          <w:iCs/>
          <w:sz w:val="22"/>
          <w:szCs w:val="22"/>
        </w:rPr>
        <w:t xml:space="preserve"> </w:t>
      </w:r>
      <w:r w:rsidR="00167F27">
        <w:rPr>
          <w:iCs/>
          <w:sz w:val="22"/>
          <w:szCs w:val="22"/>
        </w:rPr>
        <w:t>surplus medical-surgical</w:t>
      </w:r>
      <w:r w:rsidR="00BC14A4">
        <w:rPr>
          <w:iCs/>
          <w:sz w:val="22"/>
          <w:szCs w:val="22"/>
        </w:rPr>
        <w:t xml:space="preserve"> </w:t>
      </w:r>
      <w:r w:rsidR="00E06BE3">
        <w:rPr>
          <w:iCs/>
          <w:sz w:val="22"/>
          <w:szCs w:val="22"/>
        </w:rPr>
        <w:t xml:space="preserve">beds </w:t>
      </w:r>
      <w:r w:rsidR="00BC14A4">
        <w:rPr>
          <w:iCs/>
          <w:sz w:val="22"/>
          <w:szCs w:val="22"/>
        </w:rPr>
        <w:t xml:space="preserve">within Inova Health System that </w:t>
      </w:r>
      <w:r w:rsidR="00914D0F">
        <w:rPr>
          <w:iCs/>
          <w:sz w:val="22"/>
          <w:szCs w:val="22"/>
        </w:rPr>
        <w:t>could be used to respond to demand at IFH.</w:t>
      </w:r>
    </w:p>
    <w:p w14:paraId="1BFF9FA4" w14:textId="0C8F263F" w:rsidR="00E52FED" w:rsidRDefault="0041120B" w:rsidP="002F3114">
      <w:pPr>
        <w:pStyle w:val="NormalWeb"/>
        <w:ind w:left="720"/>
        <w:rPr>
          <w:iCs/>
          <w:sz w:val="22"/>
          <w:szCs w:val="22"/>
        </w:rPr>
      </w:pPr>
      <w:r>
        <w:rPr>
          <w:iCs/>
          <w:sz w:val="22"/>
          <w:szCs w:val="22"/>
        </w:rPr>
        <w:t xml:space="preserve">It is worth noting </w:t>
      </w:r>
      <w:r w:rsidR="003573CF">
        <w:rPr>
          <w:iCs/>
          <w:sz w:val="22"/>
          <w:szCs w:val="22"/>
        </w:rPr>
        <w:t>that transferring the license for a</w:t>
      </w:r>
      <w:r w:rsidR="002A5578">
        <w:rPr>
          <w:iCs/>
          <w:sz w:val="22"/>
          <w:szCs w:val="22"/>
        </w:rPr>
        <w:t>ny</w:t>
      </w:r>
      <w:r w:rsidR="003573CF">
        <w:rPr>
          <w:iCs/>
          <w:sz w:val="22"/>
          <w:szCs w:val="22"/>
        </w:rPr>
        <w:t xml:space="preserve"> number of</w:t>
      </w:r>
      <w:r w:rsidR="002A5578">
        <w:rPr>
          <w:iCs/>
          <w:sz w:val="22"/>
          <w:szCs w:val="22"/>
        </w:rPr>
        <w:t xml:space="preserve"> licensed</w:t>
      </w:r>
      <w:r w:rsidR="00E52FED">
        <w:rPr>
          <w:iCs/>
          <w:sz w:val="22"/>
          <w:szCs w:val="22"/>
        </w:rPr>
        <w:t xml:space="preserve"> </w:t>
      </w:r>
      <w:r w:rsidR="003573CF">
        <w:rPr>
          <w:iCs/>
          <w:sz w:val="22"/>
          <w:szCs w:val="22"/>
        </w:rPr>
        <w:t>beds to offset a</w:t>
      </w:r>
      <w:r w:rsidR="00A73D2E">
        <w:rPr>
          <w:iCs/>
          <w:sz w:val="22"/>
          <w:szCs w:val="22"/>
        </w:rPr>
        <w:t>n</w:t>
      </w:r>
      <w:r w:rsidR="003573CF">
        <w:rPr>
          <w:iCs/>
          <w:sz w:val="22"/>
          <w:szCs w:val="22"/>
        </w:rPr>
        <w:t xml:space="preserve"> increase in capacity </w:t>
      </w:r>
      <w:r w:rsidR="00E52FED">
        <w:rPr>
          <w:iCs/>
          <w:sz w:val="22"/>
          <w:szCs w:val="22"/>
        </w:rPr>
        <w:t xml:space="preserve">at Inova Fairfax Hospital </w:t>
      </w:r>
      <w:r w:rsidR="005520B1">
        <w:rPr>
          <w:iCs/>
          <w:sz w:val="22"/>
          <w:szCs w:val="22"/>
        </w:rPr>
        <w:t xml:space="preserve">would be </w:t>
      </w:r>
      <w:r w:rsidR="00E52FED">
        <w:rPr>
          <w:iCs/>
          <w:sz w:val="22"/>
          <w:szCs w:val="22"/>
        </w:rPr>
        <w:t>a</w:t>
      </w:r>
      <w:r w:rsidR="00E42C4E">
        <w:rPr>
          <w:iCs/>
          <w:sz w:val="22"/>
          <w:szCs w:val="22"/>
        </w:rPr>
        <w:t xml:space="preserve"> technicality, a paper transaction that would reduce the number of lic</w:t>
      </w:r>
      <w:r w:rsidR="00E52FED">
        <w:rPr>
          <w:iCs/>
          <w:sz w:val="22"/>
          <w:szCs w:val="22"/>
        </w:rPr>
        <w:t xml:space="preserve">ensed beds at </w:t>
      </w:r>
      <w:r w:rsidR="0074313F">
        <w:rPr>
          <w:iCs/>
          <w:sz w:val="22"/>
          <w:szCs w:val="22"/>
        </w:rPr>
        <w:t xml:space="preserve">the donor </w:t>
      </w:r>
      <w:r w:rsidR="00440AA7">
        <w:rPr>
          <w:iCs/>
          <w:sz w:val="22"/>
          <w:szCs w:val="22"/>
        </w:rPr>
        <w:t>facility but</w:t>
      </w:r>
      <w:r w:rsidR="00E42C4E">
        <w:rPr>
          <w:iCs/>
          <w:sz w:val="22"/>
          <w:szCs w:val="22"/>
        </w:rPr>
        <w:t xml:space="preserve"> would not affect</w:t>
      </w:r>
      <w:r w:rsidR="00373377">
        <w:rPr>
          <w:iCs/>
          <w:sz w:val="22"/>
          <w:szCs w:val="22"/>
        </w:rPr>
        <w:t xml:space="preserve"> the cost of the </w:t>
      </w:r>
      <w:r w:rsidR="00E42C4E">
        <w:rPr>
          <w:iCs/>
          <w:sz w:val="22"/>
          <w:szCs w:val="22"/>
        </w:rPr>
        <w:t xml:space="preserve">Inova Fairfax Hospital </w:t>
      </w:r>
      <w:r w:rsidR="00373377">
        <w:rPr>
          <w:iCs/>
          <w:sz w:val="22"/>
          <w:szCs w:val="22"/>
        </w:rPr>
        <w:t xml:space="preserve">project or generate other benefits. </w:t>
      </w:r>
    </w:p>
    <w:p w14:paraId="389C25A1" w14:textId="77777777" w:rsidR="00EB7D61" w:rsidRPr="004246A6" w:rsidRDefault="00EB7D61" w:rsidP="00EB7D61">
      <w:pPr>
        <w:pStyle w:val="NormalWeb"/>
        <w:numPr>
          <w:ilvl w:val="0"/>
          <w:numId w:val="16"/>
        </w:numPr>
        <w:ind w:left="1080"/>
        <w:rPr>
          <w:b/>
          <w:iCs/>
          <w:sz w:val="22"/>
          <w:szCs w:val="22"/>
        </w:rPr>
      </w:pPr>
      <w:r w:rsidRPr="004246A6">
        <w:rPr>
          <w:b/>
          <w:iCs/>
          <w:sz w:val="22"/>
          <w:szCs w:val="22"/>
        </w:rPr>
        <w:t xml:space="preserve">Beneficial Institutional Competition while Improving Access to Essential Care </w:t>
      </w:r>
    </w:p>
    <w:p w14:paraId="51D11F3E" w14:textId="492AB049" w:rsidR="000A07A4" w:rsidRDefault="00F64D2A" w:rsidP="00EB7D61">
      <w:pPr>
        <w:pStyle w:val="NormalWeb"/>
        <w:ind w:left="720"/>
        <w:rPr>
          <w:sz w:val="22"/>
          <w:szCs w:val="22"/>
        </w:rPr>
      </w:pPr>
      <w:r>
        <w:rPr>
          <w:sz w:val="22"/>
          <w:szCs w:val="22"/>
        </w:rPr>
        <w:t>T</w:t>
      </w:r>
      <w:r w:rsidR="00C033ED">
        <w:rPr>
          <w:sz w:val="22"/>
          <w:szCs w:val="22"/>
        </w:rPr>
        <w:t xml:space="preserve">he proposal </w:t>
      </w:r>
      <w:r w:rsidR="006F6ED0">
        <w:rPr>
          <w:sz w:val="22"/>
          <w:szCs w:val="22"/>
        </w:rPr>
        <w:t>is to expand an existing service provider, the largest in the region</w:t>
      </w:r>
      <w:r w:rsidR="002F3114">
        <w:rPr>
          <w:sz w:val="22"/>
          <w:szCs w:val="22"/>
        </w:rPr>
        <w:t>.</w:t>
      </w:r>
      <w:r w:rsidR="006F6ED0">
        <w:rPr>
          <w:sz w:val="22"/>
          <w:szCs w:val="22"/>
        </w:rPr>
        <w:t xml:space="preserve"> </w:t>
      </w:r>
      <w:r w:rsidR="002F3114">
        <w:rPr>
          <w:sz w:val="22"/>
          <w:szCs w:val="22"/>
        </w:rPr>
        <w:t xml:space="preserve"> </w:t>
      </w:r>
      <w:r w:rsidR="008E6616">
        <w:rPr>
          <w:sz w:val="22"/>
          <w:szCs w:val="22"/>
        </w:rPr>
        <w:t>I</w:t>
      </w:r>
      <w:r w:rsidR="002F3114">
        <w:rPr>
          <w:sz w:val="22"/>
          <w:szCs w:val="22"/>
        </w:rPr>
        <w:t>t doe</w:t>
      </w:r>
      <w:r w:rsidR="006A677B">
        <w:rPr>
          <w:sz w:val="22"/>
          <w:szCs w:val="22"/>
        </w:rPr>
        <w:t>s</w:t>
      </w:r>
      <w:r w:rsidR="00C033ED">
        <w:rPr>
          <w:sz w:val="22"/>
          <w:szCs w:val="22"/>
        </w:rPr>
        <w:t xml:space="preserve"> </w:t>
      </w:r>
      <w:r>
        <w:rPr>
          <w:sz w:val="22"/>
          <w:szCs w:val="22"/>
        </w:rPr>
        <w:t>not</w:t>
      </w:r>
      <w:r w:rsidR="006F6ED0">
        <w:rPr>
          <w:sz w:val="22"/>
          <w:szCs w:val="22"/>
        </w:rPr>
        <w:t xml:space="preserve"> </w:t>
      </w:r>
      <w:r w:rsidR="008E6616">
        <w:rPr>
          <w:sz w:val="22"/>
          <w:szCs w:val="22"/>
        </w:rPr>
        <w:t xml:space="preserve">entail the </w:t>
      </w:r>
      <w:r w:rsidR="00C033ED">
        <w:rPr>
          <w:sz w:val="22"/>
          <w:szCs w:val="22"/>
        </w:rPr>
        <w:t>introduc</w:t>
      </w:r>
      <w:r w:rsidR="003D1374">
        <w:rPr>
          <w:sz w:val="22"/>
          <w:szCs w:val="22"/>
        </w:rPr>
        <w:t>tion of</w:t>
      </w:r>
      <w:r w:rsidR="00C033ED">
        <w:rPr>
          <w:sz w:val="22"/>
          <w:szCs w:val="22"/>
        </w:rPr>
        <w:t xml:space="preserve"> a new service provider or </w:t>
      </w:r>
      <w:r w:rsidR="003D1374">
        <w:rPr>
          <w:sz w:val="22"/>
          <w:szCs w:val="22"/>
        </w:rPr>
        <w:t>establi</w:t>
      </w:r>
      <w:r w:rsidR="00B90CB6">
        <w:rPr>
          <w:sz w:val="22"/>
          <w:szCs w:val="22"/>
        </w:rPr>
        <w:t xml:space="preserve">shing </w:t>
      </w:r>
      <w:r w:rsidR="00C033ED">
        <w:rPr>
          <w:sz w:val="22"/>
          <w:szCs w:val="22"/>
        </w:rPr>
        <w:t xml:space="preserve">a new service delivery site. </w:t>
      </w:r>
      <w:r w:rsidR="00B90CB6">
        <w:rPr>
          <w:sz w:val="22"/>
          <w:szCs w:val="22"/>
        </w:rPr>
        <w:t>Inova</w:t>
      </w:r>
      <w:r w:rsidR="00226876">
        <w:rPr>
          <w:sz w:val="22"/>
          <w:szCs w:val="22"/>
        </w:rPr>
        <w:t xml:space="preserve">’s five </w:t>
      </w:r>
      <w:r w:rsidR="00F164AC">
        <w:rPr>
          <w:sz w:val="22"/>
          <w:szCs w:val="22"/>
        </w:rPr>
        <w:t xml:space="preserve">community </w:t>
      </w:r>
      <w:r w:rsidR="002E12A2">
        <w:rPr>
          <w:sz w:val="22"/>
          <w:szCs w:val="22"/>
        </w:rPr>
        <w:t>hospitals</w:t>
      </w:r>
      <w:r w:rsidR="00F164AC">
        <w:rPr>
          <w:sz w:val="22"/>
          <w:szCs w:val="22"/>
        </w:rPr>
        <w:t xml:space="preserve"> have a regional market share of about 60%. </w:t>
      </w:r>
      <w:r w:rsidR="00304DAE">
        <w:rPr>
          <w:sz w:val="22"/>
          <w:szCs w:val="22"/>
        </w:rPr>
        <w:t xml:space="preserve">Inova Fairfax Hospital’s market share is about </w:t>
      </w:r>
      <w:r w:rsidR="002E12A2">
        <w:rPr>
          <w:sz w:val="22"/>
          <w:szCs w:val="22"/>
        </w:rPr>
        <w:t>3</w:t>
      </w:r>
      <w:r w:rsidR="006A677B">
        <w:rPr>
          <w:sz w:val="22"/>
          <w:szCs w:val="22"/>
        </w:rPr>
        <w:t>2</w:t>
      </w:r>
      <w:r w:rsidR="002E12A2">
        <w:rPr>
          <w:sz w:val="22"/>
          <w:szCs w:val="22"/>
        </w:rPr>
        <w:t>%</w:t>
      </w:r>
      <w:r w:rsidR="004637F9">
        <w:rPr>
          <w:sz w:val="22"/>
          <w:szCs w:val="22"/>
        </w:rPr>
        <w:t xml:space="preserve">. </w:t>
      </w:r>
      <w:r w:rsidR="000A07A4">
        <w:rPr>
          <w:sz w:val="22"/>
          <w:szCs w:val="22"/>
        </w:rPr>
        <w:t>Both shares decrea</w:t>
      </w:r>
      <w:r w:rsidR="00315B54">
        <w:rPr>
          <w:sz w:val="22"/>
          <w:szCs w:val="22"/>
        </w:rPr>
        <w:t xml:space="preserve">sed </w:t>
      </w:r>
      <w:r w:rsidR="006A677B">
        <w:rPr>
          <w:sz w:val="22"/>
          <w:szCs w:val="22"/>
        </w:rPr>
        <w:t xml:space="preserve">slightly </w:t>
      </w:r>
      <w:r w:rsidR="00315B54">
        <w:rPr>
          <w:sz w:val="22"/>
          <w:szCs w:val="22"/>
        </w:rPr>
        <w:t xml:space="preserve">over the last decade. </w:t>
      </w:r>
    </w:p>
    <w:p w14:paraId="476EFFA1" w14:textId="0C6A2312" w:rsidR="00CB2CDD" w:rsidRDefault="00B864F1" w:rsidP="00EB7D61">
      <w:pPr>
        <w:pStyle w:val="NormalWeb"/>
        <w:ind w:left="720"/>
        <w:rPr>
          <w:sz w:val="22"/>
          <w:szCs w:val="22"/>
        </w:rPr>
      </w:pPr>
      <w:r w:rsidRPr="002855CA">
        <w:rPr>
          <w:sz w:val="22"/>
          <w:szCs w:val="22"/>
        </w:rPr>
        <w:t xml:space="preserve">Inova is an </w:t>
      </w:r>
      <w:r w:rsidR="00E42C4E" w:rsidRPr="002855CA">
        <w:rPr>
          <w:sz w:val="22"/>
          <w:szCs w:val="22"/>
        </w:rPr>
        <w:t xml:space="preserve">energetic competitor. Adding beds </w:t>
      </w:r>
      <w:r w:rsidR="00315B54" w:rsidRPr="002855CA">
        <w:rPr>
          <w:sz w:val="22"/>
          <w:szCs w:val="22"/>
        </w:rPr>
        <w:t xml:space="preserve">would permit it to continue to </w:t>
      </w:r>
      <w:r w:rsidR="00DB7085">
        <w:rPr>
          <w:sz w:val="22"/>
          <w:szCs w:val="22"/>
        </w:rPr>
        <w:t>be</w:t>
      </w:r>
      <w:r w:rsidR="00315B54" w:rsidRPr="002855CA">
        <w:rPr>
          <w:sz w:val="22"/>
          <w:szCs w:val="22"/>
        </w:rPr>
        <w:t xml:space="preserve"> so. </w:t>
      </w:r>
      <w:r w:rsidR="000C1819" w:rsidRPr="002855CA">
        <w:rPr>
          <w:sz w:val="22"/>
          <w:szCs w:val="22"/>
        </w:rPr>
        <w:t xml:space="preserve">It </w:t>
      </w:r>
      <w:r w:rsidR="00315B54" w:rsidRPr="002855CA">
        <w:rPr>
          <w:sz w:val="22"/>
          <w:szCs w:val="22"/>
        </w:rPr>
        <w:t>is arguable</w:t>
      </w:r>
      <w:r w:rsidR="000C1819" w:rsidRPr="002855CA">
        <w:rPr>
          <w:sz w:val="22"/>
          <w:szCs w:val="22"/>
        </w:rPr>
        <w:t xml:space="preserve"> that adding beds at </w:t>
      </w:r>
      <w:r w:rsidR="00315B54" w:rsidRPr="002855CA">
        <w:rPr>
          <w:sz w:val="22"/>
          <w:szCs w:val="22"/>
        </w:rPr>
        <w:t>IFH</w:t>
      </w:r>
      <w:r w:rsidR="000C1819" w:rsidRPr="002855CA">
        <w:rPr>
          <w:sz w:val="22"/>
          <w:szCs w:val="22"/>
        </w:rPr>
        <w:t xml:space="preserve"> would permit the hospital to </w:t>
      </w:r>
      <w:r w:rsidR="00315B54" w:rsidRPr="002855CA">
        <w:rPr>
          <w:sz w:val="22"/>
          <w:szCs w:val="22"/>
        </w:rPr>
        <w:t>operate</w:t>
      </w:r>
      <w:r w:rsidR="000C1819" w:rsidRPr="002855CA">
        <w:rPr>
          <w:sz w:val="22"/>
          <w:szCs w:val="22"/>
        </w:rPr>
        <w:t xml:space="preserve"> more efficiently and </w:t>
      </w:r>
      <w:r w:rsidR="00780C35" w:rsidRPr="002855CA">
        <w:rPr>
          <w:sz w:val="22"/>
          <w:szCs w:val="22"/>
        </w:rPr>
        <w:t>effectively and</w:t>
      </w:r>
      <w:r w:rsidR="00F67ABF" w:rsidRPr="002855CA">
        <w:rPr>
          <w:sz w:val="22"/>
          <w:szCs w:val="22"/>
        </w:rPr>
        <w:t xml:space="preserve"> be more respons</w:t>
      </w:r>
      <w:r w:rsidR="00C872F6" w:rsidRPr="002855CA">
        <w:rPr>
          <w:sz w:val="22"/>
          <w:szCs w:val="22"/>
        </w:rPr>
        <w:t>iv</w:t>
      </w:r>
      <w:r w:rsidR="00F67ABF" w:rsidRPr="002855CA">
        <w:rPr>
          <w:sz w:val="22"/>
          <w:szCs w:val="22"/>
        </w:rPr>
        <w:t xml:space="preserve">e to </w:t>
      </w:r>
      <w:r w:rsidR="00780C35" w:rsidRPr="002855CA">
        <w:rPr>
          <w:sz w:val="22"/>
          <w:szCs w:val="22"/>
        </w:rPr>
        <w:t>the communities it serves</w:t>
      </w:r>
      <w:r w:rsidR="000C1819" w:rsidRPr="002855CA">
        <w:rPr>
          <w:sz w:val="22"/>
          <w:szCs w:val="22"/>
        </w:rPr>
        <w:t xml:space="preserve">. </w:t>
      </w:r>
      <w:r w:rsidR="00780C35" w:rsidRPr="002855CA">
        <w:rPr>
          <w:sz w:val="22"/>
          <w:szCs w:val="22"/>
        </w:rPr>
        <w:t xml:space="preserve">It is </w:t>
      </w:r>
      <w:r w:rsidR="00F0244E" w:rsidRPr="002855CA">
        <w:rPr>
          <w:sz w:val="22"/>
          <w:szCs w:val="22"/>
        </w:rPr>
        <w:t>unclear whether</w:t>
      </w:r>
      <w:r w:rsidR="00780C35" w:rsidRPr="002855CA">
        <w:rPr>
          <w:sz w:val="22"/>
          <w:szCs w:val="22"/>
        </w:rPr>
        <w:t xml:space="preserve"> this wou</w:t>
      </w:r>
      <w:r w:rsidR="005271D2" w:rsidRPr="002855CA">
        <w:rPr>
          <w:sz w:val="22"/>
          <w:szCs w:val="22"/>
        </w:rPr>
        <w:t xml:space="preserve">ld result in greater price </w:t>
      </w:r>
      <w:r w:rsidR="006743C2">
        <w:rPr>
          <w:sz w:val="22"/>
          <w:szCs w:val="22"/>
        </w:rPr>
        <w:t xml:space="preserve">competition </w:t>
      </w:r>
      <w:r w:rsidR="005271D2" w:rsidRPr="002855CA">
        <w:rPr>
          <w:sz w:val="22"/>
          <w:szCs w:val="22"/>
        </w:rPr>
        <w:t xml:space="preserve">or </w:t>
      </w:r>
      <w:r w:rsidR="00EB3F36">
        <w:rPr>
          <w:sz w:val="22"/>
          <w:szCs w:val="22"/>
        </w:rPr>
        <w:t xml:space="preserve">in </w:t>
      </w:r>
      <w:r w:rsidR="005271D2" w:rsidRPr="002855CA">
        <w:rPr>
          <w:sz w:val="22"/>
          <w:szCs w:val="22"/>
        </w:rPr>
        <w:t xml:space="preserve">other beneficial </w:t>
      </w:r>
      <w:r w:rsidR="006743C2">
        <w:rPr>
          <w:sz w:val="22"/>
          <w:szCs w:val="22"/>
        </w:rPr>
        <w:t>effects</w:t>
      </w:r>
      <w:r w:rsidR="005271D2" w:rsidRPr="002855CA">
        <w:rPr>
          <w:sz w:val="22"/>
          <w:szCs w:val="22"/>
        </w:rPr>
        <w:t>.</w:t>
      </w:r>
    </w:p>
    <w:p w14:paraId="0851A87F" w14:textId="77777777" w:rsidR="00EB7D61" w:rsidRPr="004246A6" w:rsidRDefault="00EB7D61" w:rsidP="00EB7D61">
      <w:pPr>
        <w:pStyle w:val="NormalWeb"/>
        <w:numPr>
          <w:ilvl w:val="0"/>
          <w:numId w:val="16"/>
        </w:numPr>
        <w:ind w:left="1080"/>
        <w:rPr>
          <w:b/>
          <w:iCs/>
          <w:sz w:val="22"/>
          <w:szCs w:val="22"/>
        </w:rPr>
      </w:pPr>
      <w:r w:rsidRPr="004246A6">
        <w:rPr>
          <w:b/>
          <w:iCs/>
          <w:sz w:val="22"/>
          <w:szCs w:val="22"/>
        </w:rPr>
        <w:t xml:space="preserve">Relationship </w:t>
      </w:r>
      <w:proofErr w:type="gramStart"/>
      <w:r w:rsidRPr="004246A6">
        <w:rPr>
          <w:b/>
          <w:iCs/>
          <w:sz w:val="22"/>
          <w:szCs w:val="22"/>
        </w:rPr>
        <w:t>to</w:t>
      </w:r>
      <w:proofErr w:type="gramEnd"/>
      <w:r w:rsidRPr="004246A6">
        <w:rPr>
          <w:b/>
          <w:iCs/>
          <w:sz w:val="22"/>
          <w:szCs w:val="22"/>
        </w:rPr>
        <w:t xml:space="preserve"> Existing Health Care System</w:t>
      </w:r>
    </w:p>
    <w:p w14:paraId="3FB9BDEB" w14:textId="36A72275" w:rsidR="000C1819" w:rsidRDefault="000C1819" w:rsidP="00EB7D61">
      <w:pPr>
        <w:ind w:left="720"/>
      </w:pPr>
      <w:r>
        <w:t>Inova</w:t>
      </w:r>
      <w:r w:rsidR="00940D4F">
        <w:t xml:space="preserve"> </w:t>
      </w:r>
      <w:r w:rsidR="00315B54">
        <w:t>is an</w:t>
      </w:r>
      <w:r w:rsidR="00940D4F">
        <w:t xml:space="preserve"> established provider of </w:t>
      </w:r>
      <w:r>
        <w:t xml:space="preserve">a wide </w:t>
      </w:r>
      <w:r w:rsidR="00636602">
        <w:t>array</w:t>
      </w:r>
      <w:r>
        <w:t xml:space="preserve"> of </w:t>
      </w:r>
      <w:r w:rsidR="00940D4F">
        <w:t>inpatient hospital services</w:t>
      </w:r>
      <w:r w:rsidR="00636602">
        <w:t>, at I</w:t>
      </w:r>
      <w:r w:rsidR="005271D2">
        <w:t xml:space="preserve">nova </w:t>
      </w:r>
      <w:r w:rsidR="00636602">
        <w:t>F</w:t>
      </w:r>
      <w:r w:rsidR="005271D2">
        <w:t xml:space="preserve">airfax </w:t>
      </w:r>
      <w:r w:rsidR="00636602">
        <w:t>H</w:t>
      </w:r>
      <w:r w:rsidR="005271D2">
        <w:t>ospital</w:t>
      </w:r>
      <w:r w:rsidR="00636602">
        <w:t xml:space="preserve"> and region wide</w:t>
      </w:r>
      <w:r w:rsidR="00940D4F">
        <w:t xml:space="preserve">. </w:t>
      </w:r>
      <w:r w:rsidR="00636602">
        <w:t>It</w:t>
      </w:r>
      <w:r w:rsidR="00940D4F">
        <w:t xml:space="preserve"> propose</w:t>
      </w:r>
      <w:r w:rsidR="00636602">
        <w:t>s</w:t>
      </w:r>
      <w:r w:rsidR="00940D4F">
        <w:t xml:space="preserve"> </w:t>
      </w:r>
      <w:r w:rsidR="00636602">
        <w:t>a 48-</w:t>
      </w:r>
      <w:r w:rsidR="00940D4F">
        <w:t xml:space="preserve">bed </w:t>
      </w:r>
      <w:r w:rsidR="006B02F9">
        <w:t xml:space="preserve">expansion </w:t>
      </w:r>
      <w:r w:rsidR="00136191">
        <w:t xml:space="preserve">of IFH </w:t>
      </w:r>
      <w:r w:rsidR="00940D4F">
        <w:t xml:space="preserve">to accommodate </w:t>
      </w:r>
      <w:r w:rsidR="00636602">
        <w:t xml:space="preserve">current and </w:t>
      </w:r>
      <w:r w:rsidR="00A66B00">
        <w:t>near-term</w:t>
      </w:r>
      <w:r w:rsidR="00636602">
        <w:t xml:space="preserve"> </w:t>
      </w:r>
      <w:r w:rsidR="00940D4F">
        <w:t>demand</w:t>
      </w:r>
      <w:r w:rsidR="00E52FED">
        <w:t xml:space="preserve">. </w:t>
      </w:r>
      <w:r w:rsidR="003C1D85">
        <w:t>There is no indication</w:t>
      </w:r>
      <w:r w:rsidR="000D6A77">
        <w:t xml:space="preserve"> of </w:t>
      </w:r>
      <w:r w:rsidR="003F423A">
        <w:t>likely</w:t>
      </w:r>
      <w:r w:rsidR="000D6A77">
        <w:t xml:space="preserve"> or potential</w:t>
      </w:r>
      <w:r w:rsidR="003F423A">
        <w:t xml:space="preserve"> negative effects. </w:t>
      </w:r>
    </w:p>
    <w:p w14:paraId="53B7B989" w14:textId="77777777" w:rsidR="00EB7D61" w:rsidRPr="004246A6" w:rsidRDefault="00EB7D61" w:rsidP="00EB7D61">
      <w:pPr>
        <w:pStyle w:val="NormalWeb"/>
        <w:numPr>
          <w:ilvl w:val="0"/>
          <w:numId w:val="16"/>
        </w:numPr>
        <w:ind w:left="1080"/>
        <w:rPr>
          <w:b/>
          <w:iCs/>
          <w:sz w:val="22"/>
          <w:szCs w:val="22"/>
        </w:rPr>
      </w:pPr>
      <w:r>
        <w:rPr>
          <w:b/>
          <w:iCs/>
          <w:sz w:val="22"/>
          <w:szCs w:val="22"/>
        </w:rPr>
        <w:t>E</w:t>
      </w:r>
      <w:r w:rsidRPr="004246A6">
        <w:rPr>
          <w:b/>
          <w:iCs/>
          <w:sz w:val="22"/>
          <w:szCs w:val="22"/>
        </w:rPr>
        <w:t>conomic, Financial Feasibility</w:t>
      </w:r>
    </w:p>
    <w:p w14:paraId="4A559C74" w14:textId="62FA0F0A" w:rsidR="00EB7D61" w:rsidRDefault="00EB7D61" w:rsidP="00EB7D61">
      <w:pPr>
        <w:pStyle w:val="NormalWeb"/>
        <w:ind w:left="720"/>
        <w:rPr>
          <w:iCs/>
          <w:sz w:val="22"/>
          <w:szCs w:val="22"/>
        </w:rPr>
      </w:pPr>
      <w:r w:rsidRPr="004246A6">
        <w:rPr>
          <w:iCs/>
          <w:sz w:val="22"/>
          <w:szCs w:val="22"/>
        </w:rPr>
        <w:t xml:space="preserve">The capital outlay </w:t>
      </w:r>
      <w:r w:rsidR="00CB2CDD">
        <w:rPr>
          <w:iCs/>
          <w:sz w:val="22"/>
          <w:szCs w:val="22"/>
        </w:rPr>
        <w:t xml:space="preserve">proposed by </w:t>
      </w:r>
      <w:r w:rsidR="006743C2">
        <w:rPr>
          <w:iCs/>
          <w:sz w:val="22"/>
          <w:szCs w:val="22"/>
        </w:rPr>
        <w:t>Inova</w:t>
      </w:r>
      <w:r w:rsidR="00546900">
        <w:rPr>
          <w:iCs/>
          <w:sz w:val="22"/>
          <w:szCs w:val="22"/>
        </w:rPr>
        <w:t xml:space="preserve">, </w:t>
      </w:r>
      <w:r w:rsidR="00D643CE" w:rsidRPr="00D643CE">
        <w:rPr>
          <w:iCs/>
          <w:sz w:val="22"/>
          <w:szCs w:val="22"/>
        </w:rPr>
        <w:t>$32,944,386</w:t>
      </w:r>
      <w:r w:rsidR="002034C7">
        <w:rPr>
          <w:iCs/>
          <w:sz w:val="22"/>
          <w:szCs w:val="22"/>
        </w:rPr>
        <w:t>, is relatively low</w:t>
      </w:r>
      <w:r w:rsidR="00014E13">
        <w:rPr>
          <w:iCs/>
          <w:sz w:val="22"/>
          <w:szCs w:val="22"/>
        </w:rPr>
        <w:t xml:space="preserve">, about </w:t>
      </w:r>
      <w:r w:rsidR="006F4F6D">
        <w:rPr>
          <w:iCs/>
          <w:sz w:val="22"/>
          <w:szCs w:val="22"/>
        </w:rPr>
        <w:t>$686</w:t>
      </w:r>
      <w:r w:rsidR="00A66B00">
        <w:rPr>
          <w:iCs/>
          <w:sz w:val="22"/>
          <w:szCs w:val="22"/>
        </w:rPr>
        <w:t>,</w:t>
      </w:r>
      <w:r w:rsidR="006F4F6D">
        <w:rPr>
          <w:iCs/>
          <w:sz w:val="22"/>
          <w:szCs w:val="22"/>
        </w:rPr>
        <w:t>342 p</w:t>
      </w:r>
      <w:r w:rsidR="000C7F99">
        <w:rPr>
          <w:iCs/>
          <w:sz w:val="22"/>
          <w:szCs w:val="22"/>
        </w:rPr>
        <w:t>er bed.</w:t>
      </w:r>
      <w:r w:rsidR="00CB2CDD">
        <w:rPr>
          <w:iCs/>
          <w:sz w:val="22"/>
          <w:szCs w:val="22"/>
        </w:rPr>
        <w:t xml:space="preserve"> </w:t>
      </w:r>
      <w:r w:rsidR="00EA12DB">
        <w:rPr>
          <w:iCs/>
          <w:sz w:val="22"/>
          <w:szCs w:val="22"/>
        </w:rPr>
        <w:t>The</w:t>
      </w:r>
      <w:r w:rsidR="00CB6D35">
        <w:rPr>
          <w:iCs/>
          <w:sz w:val="22"/>
          <w:szCs w:val="22"/>
        </w:rPr>
        <w:t xml:space="preserve"> project does not entail new </w:t>
      </w:r>
      <w:r w:rsidR="00C33E49">
        <w:rPr>
          <w:iCs/>
          <w:sz w:val="22"/>
          <w:szCs w:val="22"/>
        </w:rPr>
        <w:t xml:space="preserve">construction or site </w:t>
      </w:r>
      <w:r w:rsidR="005336E9">
        <w:rPr>
          <w:iCs/>
          <w:sz w:val="22"/>
          <w:szCs w:val="22"/>
        </w:rPr>
        <w:t>acquisition expense.</w:t>
      </w:r>
    </w:p>
    <w:p w14:paraId="515FE641" w14:textId="6911FC9E" w:rsidR="00EB7D61" w:rsidRDefault="000C7F99" w:rsidP="00EB7D61">
      <w:pPr>
        <w:pStyle w:val="NormalWeb"/>
        <w:ind w:left="720"/>
        <w:rPr>
          <w:iCs/>
          <w:sz w:val="22"/>
          <w:szCs w:val="22"/>
        </w:rPr>
      </w:pPr>
      <w:r>
        <w:rPr>
          <w:iCs/>
          <w:sz w:val="22"/>
          <w:szCs w:val="22"/>
        </w:rPr>
        <w:t>The</w:t>
      </w:r>
      <w:r w:rsidR="00940D4F">
        <w:rPr>
          <w:iCs/>
          <w:sz w:val="22"/>
          <w:szCs w:val="22"/>
        </w:rPr>
        <w:t xml:space="preserve"> </w:t>
      </w:r>
      <w:r w:rsidR="00EB7D61">
        <w:rPr>
          <w:iCs/>
          <w:sz w:val="22"/>
          <w:szCs w:val="22"/>
        </w:rPr>
        <w:t>project would be financed wit</w:t>
      </w:r>
      <w:r w:rsidR="00E52FED">
        <w:rPr>
          <w:iCs/>
          <w:sz w:val="22"/>
          <w:szCs w:val="22"/>
        </w:rPr>
        <w:t xml:space="preserve">h internal corporate funds. </w:t>
      </w:r>
      <w:r w:rsidR="00483165">
        <w:rPr>
          <w:iCs/>
          <w:sz w:val="22"/>
          <w:szCs w:val="22"/>
        </w:rPr>
        <w:t xml:space="preserve">It </w:t>
      </w:r>
      <w:r w:rsidR="00136191">
        <w:rPr>
          <w:iCs/>
          <w:sz w:val="22"/>
          <w:szCs w:val="22"/>
        </w:rPr>
        <w:t>does</w:t>
      </w:r>
      <w:r w:rsidR="00483165">
        <w:rPr>
          <w:iCs/>
          <w:sz w:val="22"/>
          <w:szCs w:val="22"/>
        </w:rPr>
        <w:t xml:space="preserve"> not </w:t>
      </w:r>
      <w:r w:rsidR="008E06BC">
        <w:rPr>
          <w:iCs/>
          <w:sz w:val="22"/>
          <w:szCs w:val="22"/>
        </w:rPr>
        <w:t>entail</w:t>
      </w:r>
      <w:r w:rsidR="00EB7D61">
        <w:rPr>
          <w:iCs/>
          <w:sz w:val="22"/>
          <w:szCs w:val="22"/>
        </w:rPr>
        <w:t xml:space="preserve"> direct </w:t>
      </w:r>
      <w:r w:rsidR="00D379CB">
        <w:rPr>
          <w:iCs/>
          <w:sz w:val="22"/>
          <w:szCs w:val="22"/>
        </w:rPr>
        <w:t>long-term</w:t>
      </w:r>
      <w:r w:rsidR="00EB7D61">
        <w:rPr>
          <w:iCs/>
          <w:sz w:val="22"/>
          <w:szCs w:val="22"/>
        </w:rPr>
        <w:t xml:space="preserve"> financing </w:t>
      </w:r>
      <w:r w:rsidR="00115332">
        <w:rPr>
          <w:iCs/>
          <w:sz w:val="22"/>
          <w:szCs w:val="22"/>
        </w:rPr>
        <w:t>costs</w:t>
      </w:r>
      <w:r w:rsidR="00EB7D61">
        <w:rPr>
          <w:iCs/>
          <w:sz w:val="22"/>
          <w:szCs w:val="22"/>
        </w:rPr>
        <w:t xml:space="preserve">. </w:t>
      </w:r>
      <w:r w:rsidR="00135DAE">
        <w:rPr>
          <w:iCs/>
          <w:sz w:val="22"/>
          <w:szCs w:val="22"/>
        </w:rPr>
        <w:t xml:space="preserve">It </w:t>
      </w:r>
      <w:r w:rsidR="00B65444">
        <w:rPr>
          <w:iCs/>
          <w:sz w:val="22"/>
          <w:szCs w:val="22"/>
        </w:rPr>
        <w:t>is</w:t>
      </w:r>
      <w:r w:rsidR="00EB7D61">
        <w:rPr>
          <w:iCs/>
          <w:sz w:val="22"/>
          <w:szCs w:val="22"/>
        </w:rPr>
        <w:t xml:space="preserve"> financially feasible and likely to be profitable</w:t>
      </w:r>
      <w:r w:rsidR="00940D4F">
        <w:rPr>
          <w:iCs/>
          <w:sz w:val="22"/>
          <w:szCs w:val="22"/>
        </w:rPr>
        <w:t xml:space="preserve"> </w:t>
      </w:r>
      <w:r w:rsidR="00115332">
        <w:rPr>
          <w:iCs/>
          <w:sz w:val="22"/>
          <w:szCs w:val="22"/>
        </w:rPr>
        <w:t xml:space="preserve">with </w:t>
      </w:r>
      <w:r w:rsidR="009856CC">
        <w:rPr>
          <w:iCs/>
          <w:sz w:val="22"/>
          <w:szCs w:val="22"/>
        </w:rPr>
        <w:t xml:space="preserve">a </w:t>
      </w:r>
      <w:r w:rsidR="00940D4F">
        <w:rPr>
          <w:iCs/>
          <w:sz w:val="22"/>
          <w:szCs w:val="22"/>
        </w:rPr>
        <w:t>high internal rate of return</w:t>
      </w:r>
      <w:r w:rsidR="00115332">
        <w:rPr>
          <w:iCs/>
          <w:sz w:val="22"/>
          <w:szCs w:val="22"/>
        </w:rPr>
        <w:t xml:space="preserve"> on </w:t>
      </w:r>
      <w:r w:rsidR="009856CC">
        <w:rPr>
          <w:iCs/>
          <w:sz w:val="22"/>
          <w:szCs w:val="22"/>
        </w:rPr>
        <w:t xml:space="preserve">the </w:t>
      </w:r>
      <w:r w:rsidR="00115332">
        <w:rPr>
          <w:iCs/>
          <w:sz w:val="22"/>
          <w:szCs w:val="22"/>
        </w:rPr>
        <w:t>investment</w:t>
      </w:r>
      <w:r w:rsidR="00EB7D61">
        <w:rPr>
          <w:iCs/>
          <w:sz w:val="22"/>
          <w:szCs w:val="22"/>
        </w:rPr>
        <w:t xml:space="preserve">. </w:t>
      </w:r>
    </w:p>
    <w:p w14:paraId="1DFAFA52" w14:textId="77777777" w:rsidR="00E801E4" w:rsidRDefault="00E801E4" w:rsidP="00EB7D61">
      <w:pPr>
        <w:pStyle w:val="NormalWeb"/>
        <w:ind w:left="720"/>
        <w:rPr>
          <w:iCs/>
          <w:sz w:val="22"/>
          <w:szCs w:val="22"/>
        </w:rPr>
      </w:pPr>
    </w:p>
    <w:p w14:paraId="040E4D3B" w14:textId="77777777" w:rsidR="00E801E4" w:rsidRDefault="00E801E4" w:rsidP="00EB7D61">
      <w:pPr>
        <w:pStyle w:val="NormalWeb"/>
        <w:ind w:left="720"/>
        <w:rPr>
          <w:iCs/>
          <w:sz w:val="22"/>
          <w:szCs w:val="22"/>
        </w:rPr>
      </w:pPr>
    </w:p>
    <w:p w14:paraId="56D724B4" w14:textId="77777777" w:rsidR="00E801E4" w:rsidRDefault="00E801E4" w:rsidP="00EB7D61">
      <w:pPr>
        <w:pStyle w:val="NormalWeb"/>
        <w:ind w:left="720"/>
        <w:rPr>
          <w:iCs/>
          <w:sz w:val="22"/>
          <w:szCs w:val="22"/>
        </w:rPr>
      </w:pPr>
    </w:p>
    <w:p w14:paraId="67113CD4" w14:textId="6ABCF54D" w:rsidR="00EB7D61" w:rsidRPr="004246A6" w:rsidRDefault="00EB7D61" w:rsidP="00EB7D61">
      <w:pPr>
        <w:pStyle w:val="NormalWeb"/>
        <w:ind w:left="720"/>
        <w:rPr>
          <w:b/>
          <w:iCs/>
          <w:sz w:val="22"/>
          <w:szCs w:val="22"/>
        </w:rPr>
      </w:pPr>
      <w:r w:rsidRPr="004246A6">
        <w:rPr>
          <w:b/>
          <w:iCs/>
          <w:sz w:val="22"/>
          <w:szCs w:val="22"/>
        </w:rPr>
        <w:lastRenderedPageBreak/>
        <w:t xml:space="preserve">7.  </w:t>
      </w:r>
      <w:r w:rsidR="00E35FE8">
        <w:rPr>
          <w:b/>
          <w:iCs/>
          <w:sz w:val="22"/>
          <w:szCs w:val="22"/>
        </w:rPr>
        <w:t xml:space="preserve"> </w:t>
      </w:r>
      <w:r w:rsidRPr="004246A6">
        <w:rPr>
          <w:b/>
          <w:iCs/>
          <w:sz w:val="22"/>
          <w:szCs w:val="22"/>
        </w:rPr>
        <w:t xml:space="preserve">Financial, Technological Innovations </w:t>
      </w:r>
    </w:p>
    <w:p w14:paraId="1B577C77" w14:textId="1BCF2F3B" w:rsidR="00EB7D61" w:rsidRPr="004246A6" w:rsidRDefault="00BD5EA4" w:rsidP="00EB7D61">
      <w:pPr>
        <w:pStyle w:val="NormalWeb"/>
        <w:ind w:left="720"/>
        <w:rPr>
          <w:sz w:val="22"/>
          <w:szCs w:val="22"/>
        </w:rPr>
      </w:pPr>
      <w:r>
        <w:rPr>
          <w:sz w:val="22"/>
          <w:szCs w:val="22"/>
        </w:rPr>
        <w:t>The proposal</w:t>
      </w:r>
      <w:r w:rsidR="00EB7D61">
        <w:rPr>
          <w:sz w:val="22"/>
          <w:szCs w:val="22"/>
        </w:rPr>
        <w:t xml:space="preserve"> </w:t>
      </w:r>
      <w:r w:rsidR="00241944">
        <w:rPr>
          <w:sz w:val="22"/>
          <w:szCs w:val="22"/>
        </w:rPr>
        <w:t>d</w:t>
      </w:r>
      <w:r w:rsidR="00DB5A45">
        <w:rPr>
          <w:sz w:val="22"/>
          <w:szCs w:val="22"/>
        </w:rPr>
        <w:t xml:space="preserve">oes not </w:t>
      </w:r>
      <w:r w:rsidR="00EB7D61" w:rsidRPr="004246A6">
        <w:rPr>
          <w:sz w:val="22"/>
          <w:szCs w:val="22"/>
        </w:rPr>
        <w:t>entail innovat</w:t>
      </w:r>
      <w:r w:rsidR="00EB7D61">
        <w:rPr>
          <w:sz w:val="22"/>
          <w:szCs w:val="22"/>
        </w:rPr>
        <w:t>iv</w:t>
      </w:r>
      <w:r w:rsidR="00EB7D61" w:rsidRPr="004246A6">
        <w:rPr>
          <w:sz w:val="22"/>
          <w:szCs w:val="22"/>
        </w:rPr>
        <w:t>e technologies, practices or economic elements</w:t>
      </w:r>
      <w:r w:rsidR="00EB7D61">
        <w:rPr>
          <w:sz w:val="22"/>
          <w:szCs w:val="22"/>
        </w:rPr>
        <w:t xml:space="preserve"> that warrant special consideration. </w:t>
      </w:r>
    </w:p>
    <w:p w14:paraId="064EA6D8" w14:textId="200B40AD" w:rsidR="00EB7D61" w:rsidRPr="008A3527" w:rsidRDefault="00EB7D61" w:rsidP="00EB7D61">
      <w:pPr>
        <w:pStyle w:val="NormalWeb"/>
        <w:ind w:left="720"/>
        <w:rPr>
          <w:b/>
          <w:sz w:val="22"/>
          <w:szCs w:val="22"/>
        </w:rPr>
      </w:pPr>
      <w:r w:rsidRPr="008A3527">
        <w:rPr>
          <w:b/>
          <w:iCs/>
          <w:sz w:val="22"/>
          <w:szCs w:val="22"/>
        </w:rPr>
        <w:t xml:space="preserve">8. </w:t>
      </w:r>
      <w:r w:rsidR="00E35FE8">
        <w:rPr>
          <w:b/>
          <w:iCs/>
          <w:sz w:val="22"/>
          <w:szCs w:val="22"/>
        </w:rPr>
        <w:t xml:space="preserve"> </w:t>
      </w:r>
      <w:r w:rsidRPr="008A3527">
        <w:rPr>
          <w:b/>
          <w:iCs/>
          <w:sz w:val="22"/>
          <w:szCs w:val="22"/>
        </w:rPr>
        <w:t xml:space="preserve"> Research, Training Contributions and Innovations</w:t>
      </w:r>
    </w:p>
    <w:p w14:paraId="0D51C83E" w14:textId="38F6796F" w:rsidR="00BD5EA4" w:rsidRDefault="00BD5EA4" w:rsidP="00BD5EA4">
      <w:pPr>
        <w:pStyle w:val="NormalWeb"/>
        <w:ind w:left="720"/>
        <w:rPr>
          <w:sz w:val="22"/>
          <w:szCs w:val="22"/>
        </w:rPr>
      </w:pPr>
      <w:r>
        <w:rPr>
          <w:sz w:val="22"/>
          <w:szCs w:val="22"/>
        </w:rPr>
        <w:t>The pro</w:t>
      </w:r>
      <w:r w:rsidR="006F0017">
        <w:rPr>
          <w:sz w:val="22"/>
          <w:szCs w:val="22"/>
        </w:rPr>
        <w:t>posal</w:t>
      </w:r>
      <w:r w:rsidR="006F39BB">
        <w:rPr>
          <w:sz w:val="22"/>
          <w:szCs w:val="22"/>
        </w:rPr>
        <w:t xml:space="preserve"> does not </w:t>
      </w:r>
      <w:r w:rsidR="00EB7D61" w:rsidRPr="008A3527">
        <w:rPr>
          <w:szCs w:val="22"/>
        </w:rPr>
        <w:t>h</w:t>
      </w:r>
      <w:r>
        <w:rPr>
          <w:szCs w:val="22"/>
        </w:rPr>
        <w:t>ave</w:t>
      </w:r>
      <w:r w:rsidR="00EB7D61" w:rsidRPr="008A3527">
        <w:rPr>
          <w:szCs w:val="22"/>
        </w:rPr>
        <w:t xml:space="preserve"> significant research or training element</w:t>
      </w:r>
      <w:r>
        <w:rPr>
          <w:szCs w:val="22"/>
        </w:rPr>
        <w:t xml:space="preserve">s </w:t>
      </w:r>
      <w:r>
        <w:rPr>
          <w:sz w:val="22"/>
          <w:szCs w:val="22"/>
        </w:rPr>
        <w:t xml:space="preserve">that warrant special consideration. </w:t>
      </w:r>
    </w:p>
    <w:p w14:paraId="7D72D9B1" w14:textId="77777777" w:rsidR="00B16EFF" w:rsidRDefault="00B16EFF" w:rsidP="00BD5EA4">
      <w:pPr>
        <w:pStyle w:val="NormalWeb"/>
        <w:ind w:left="720"/>
        <w:rPr>
          <w:sz w:val="22"/>
          <w:szCs w:val="22"/>
        </w:rPr>
      </w:pPr>
    </w:p>
    <w:p w14:paraId="05D2A046" w14:textId="77777777" w:rsidR="00B16EFF" w:rsidRDefault="00B16EFF" w:rsidP="00BD5EA4">
      <w:pPr>
        <w:pStyle w:val="NormalWeb"/>
        <w:ind w:left="720"/>
        <w:rPr>
          <w:sz w:val="22"/>
          <w:szCs w:val="22"/>
        </w:rPr>
      </w:pPr>
    </w:p>
    <w:p w14:paraId="55AECC4A" w14:textId="77777777" w:rsidR="00B16EFF" w:rsidRDefault="00B16EFF" w:rsidP="00BD5EA4">
      <w:pPr>
        <w:pStyle w:val="NormalWeb"/>
        <w:ind w:left="720"/>
        <w:rPr>
          <w:sz w:val="22"/>
          <w:szCs w:val="22"/>
        </w:rPr>
      </w:pPr>
    </w:p>
    <w:p w14:paraId="08CA9612" w14:textId="77777777" w:rsidR="00B16EFF" w:rsidRDefault="00B16EFF" w:rsidP="00BD5EA4">
      <w:pPr>
        <w:pStyle w:val="NormalWeb"/>
        <w:ind w:left="720"/>
        <w:rPr>
          <w:sz w:val="22"/>
          <w:szCs w:val="22"/>
        </w:rPr>
      </w:pPr>
    </w:p>
    <w:p w14:paraId="1AB9BD93" w14:textId="77777777" w:rsidR="00B16EFF" w:rsidRDefault="00B16EFF" w:rsidP="00BD5EA4">
      <w:pPr>
        <w:pStyle w:val="NormalWeb"/>
        <w:ind w:left="720"/>
        <w:rPr>
          <w:sz w:val="22"/>
          <w:szCs w:val="22"/>
        </w:rPr>
      </w:pPr>
    </w:p>
    <w:p w14:paraId="41CB921D" w14:textId="77777777" w:rsidR="00B16EFF" w:rsidRDefault="00B16EFF" w:rsidP="00BD5EA4">
      <w:pPr>
        <w:pStyle w:val="NormalWeb"/>
        <w:ind w:left="720"/>
        <w:rPr>
          <w:sz w:val="22"/>
          <w:szCs w:val="22"/>
        </w:rPr>
      </w:pPr>
    </w:p>
    <w:p w14:paraId="5CB41F95" w14:textId="77777777" w:rsidR="00B16EFF" w:rsidRDefault="00B16EFF" w:rsidP="00BD5EA4">
      <w:pPr>
        <w:pStyle w:val="NormalWeb"/>
        <w:ind w:left="720"/>
        <w:rPr>
          <w:sz w:val="22"/>
          <w:szCs w:val="22"/>
        </w:rPr>
      </w:pPr>
    </w:p>
    <w:p w14:paraId="196338D0" w14:textId="77777777" w:rsidR="00B16EFF" w:rsidRDefault="00B16EFF" w:rsidP="00BD5EA4">
      <w:pPr>
        <w:pStyle w:val="NormalWeb"/>
        <w:ind w:left="720"/>
        <w:rPr>
          <w:sz w:val="22"/>
          <w:szCs w:val="22"/>
        </w:rPr>
      </w:pPr>
    </w:p>
    <w:p w14:paraId="7828A055" w14:textId="77777777" w:rsidR="00B16EFF" w:rsidRDefault="00B16EFF" w:rsidP="00BD5EA4">
      <w:pPr>
        <w:pStyle w:val="NormalWeb"/>
        <w:ind w:left="720"/>
        <w:rPr>
          <w:sz w:val="22"/>
          <w:szCs w:val="22"/>
        </w:rPr>
      </w:pPr>
    </w:p>
    <w:sectPr w:rsidR="00B16EFF" w:rsidSect="00F37D40">
      <w:headerReference w:type="default" r:id="rId12"/>
      <w:footerReference w:type="even" r:id="rId13"/>
      <w:footerReference w:type="default" r:id="rId14"/>
      <w:endnotePr>
        <w:numFmt w:val="lowerLetter"/>
      </w:endnotePr>
      <w:type w:val="continuous"/>
      <w:pgSz w:w="12240" w:h="15840"/>
      <w:pgMar w:top="1440" w:right="1584" w:bottom="1920" w:left="1494" w:header="1440" w:footer="1440" w:gutter="288"/>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59BA9" w14:textId="77777777" w:rsidR="00717A20" w:rsidRDefault="00717A20" w:rsidP="00D4566D">
      <w:r>
        <w:separator/>
      </w:r>
    </w:p>
  </w:endnote>
  <w:endnote w:type="continuationSeparator" w:id="0">
    <w:p w14:paraId="5DF501BF" w14:textId="77777777" w:rsidR="00717A20" w:rsidRDefault="00717A20" w:rsidP="00D4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P TypographicSymbols">
    <w:altName w:val="Courier New"/>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C48A0" w14:textId="77777777" w:rsidR="00CA19E3" w:rsidRDefault="00CA19E3" w:rsidP="00D4566D">
    <w:r>
      <w:pgNum/>
    </w:r>
  </w:p>
  <w:p w14:paraId="01FB1E23" w14:textId="77777777" w:rsidR="00CA19E3" w:rsidRDefault="00CA19E3" w:rsidP="00D456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23AD2" w14:textId="77777777" w:rsidR="00CA19E3" w:rsidRDefault="00CA19E3">
    <w:pPr>
      <w:pStyle w:val="Footer"/>
      <w:jc w:val="center"/>
    </w:pPr>
    <w:r>
      <w:fldChar w:fldCharType="begin"/>
    </w:r>
    <w:r>
      <w:instrText xml:space="preserve"> PAGE   \* MERGEFORMAT </w:instrText>
    </w:r>
    <w:r>
      <w:fldChar w:fldCharType="separate"/>
    </w:r>
    <w:r w:rsidR="00F97322">
      <w:rPr>
        <w:noProof/>
      </w:rPr>
      <w:t>9</w:t>
    </w:r>
    <w:r>
      <w:rPr>
        <w:noProof/>
      </w:rPr>
      <w:fldChar w:fldCharType="end"/>
    </w:r>
  </w:p>
  <w:p w14:paraId="03B77CC9" w14:textId="77777777" w:rsidR="00CA19E3" w:rsidRDefault="00CA1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DA96" w14:textId="77777777" w:rsidR="00717A20" w:rsidRDefault="00717A20" w:rsidP="00D4566D">
      <w:r>
        <w:separator/>
      </w:r>
    </w:p>
  </w:footnote>
  <w:footnote w:type="continuationSeparator" w:id="0">
    <w:p w14:paraId="14365EE2" w14:textId="77777777" w:rsidR="00717A20" w:rsidRDefault="00717A20" w:rsidP="00D4566D">
      <w:r>
        <w:continuationSeparator/>
      </w:r>
    </w:p>
  </w:footnote>
  <w:footnote w:id="1">
    <w:p w14:paraId="087B2ADF" w14:textId="7D6A75FE" w:rsidR="007A7F65" w:rsidRDefault="009E010B" w:rsidP="009E010B">
      <w:pPr>
        <w:pStyle w:val="FootnoteText"/>
      </w:pPr>
      <w:r>
        <w:rPr>
          <w:rStyle w:val="FootnoteReference"/>
        </w:rPr>
        <w:footnoteRef/>
      </w:r>
      <w:r w:rsidR="00C60D0A">
        <w:t>Most</w:t>
      </w:r>
      <w:r>
        <w:t xml:space="preserve"> acute care hospital beds in Virginia are licensed as “medical-surgical” beds. </w:t>
      </w:r>
      <w:r w:rsidR="002215DC">
        <w:t xml:space="preserve">Beds allocated to obstetrics, pediatrics, intensive care and other specialized services are licensed as medical-surgical beds. </w:t>
      </w:r>
      <w:r w:rsidR="00D41648">
        <w:t>E</w:t>
      </w:r>
      <w:r>
        <w:t xml:space="preserve">xceptions are psychiatric, substance abuse treatment, and rehabilitation beds which are </w:t>
      </w:r>
      <w:r w:rsidR="007A7F65">
        <w:t xml:space="preserve">licensed </w:t>
      </w:r>
      <w:r>
        <w:t>separatel</w:t>
      </w:r>
      <w:r w:rsidR="007A7F65">
        <w:t>y</w:t>
      </w:r>
      <w:r>
        <w:t xml:space="preserve">. </w:t>
      </w:r>
      <w:r w:rsidR="00612FC7">
        <w:t>H</w:t>
      </w:r>
      <w:r>
        <w:t>ospitals may configure and use medical-surgical beds as experience dictates</w:t>
      </w:r>
      <w:r w:rsidR="007A7F65">
        <w:t xml:space="preserve"> </w:t>
      </w:r>
      <w:r w:rsidR="00612FC7">
        <w:t xml:space="preserve">as long as the licensed bed </w:t>
      </w:r>
    </w:p>
    <w:p w14:paraId="6329323A" w14:textId="18D0E663" w:rsidR="009E010B" w:rsidRDefault="00612FC7" w:rsidP="009E010B">
      <w:pPr>
        <w:pStyle w:val="FootnoteText"/>
      </w:pPr>
      <w:r>
        <w:t>complement is not exceeded</w:t>
      </w:r>
      <w:r w:rsidR="009E010B">
        <w:t xml:space="preserve">. </w:t>
      </w:r>
    </w:p>
    <w:p w14:paraId="3B81351F" w14:textId="77777777" w:rsidR="009E010B" w:rsidRDefault="009E010B" w:rsidP="009E010B">
      <w:pPr>
        <w:pStyle w:val="FootnoteText"/>
      </w:pPr>
    </w:p>
  </w:footnote>
  <w:footnote w:id="2">
    <w:p w14:paraId="134F6CFC" w14:textId="732F880E" w:rsidR="00CA19E3" w:rsidRDefault="00CA19E3">
      <w:pPr>
        <w:pStyle w:val="FootnoteText"/>
      </w:pPr>
      <w:r>
        <w:rPr>
          <w:rStyle w:val="FootnoteReference"/>
        </w:rPr>
        <w:footnoteRef/>
      </w:r>
      <w:r w:rsidRPr="00DA0F1E">
        <w:t xml:space="preserve">This count excludes </w:t>
      </w:r>
      <w:r w:rsidR="003B4386" w:rsidRPr="00DA0F1E">
        <w:t xml:space="preserve">three specialty </w:t>
      </w:r>
      <w:r w:rsidR="001A4C3A" w:rsidRPr="00DA0F1E">
        <w:t>hospitals</w:t>
      </w:r>
      <w:r w:rsidR="00C10331" w:rsidRPr="00DA0F1E">
        <w:t xml:space="preserve">: </w:t>
      </w:r>
      <w:r w:rsidR="009E610B" w:rsidRPr="00DA0F1E">
        <w:t>two</w:t>
      </w:r>
      <w:r w:rsidRPr="00DA0F1E">
        <w:t xml:space="preserve"> private freestanding psychiatric facilities</w:t>
      </w:r>
      <w:r w:rsidR="00AE1F24" w:rsidRPr="00DA0F1E">
        <w:t xml:space="preserve"> (</w:t>
      </w:r>
      <w:r w:rsidRPr="00DA0F1E">
        <w:t xml:space="preserve">Dominion Hospital </w:t>
      </w:r>
      <w:r w:rsidR="00AE1F24" w:rsidRPr="00DA0F1E">
        <w:t>[</w:t>
      </w:r>
      <w:r w:rsidRPr="00DA0F1E">
        <w:t>116 beds</w:t>
      </w:r>
      <w:r w:rsidR="00AE1F24" w:rsidRPr="00DA0F1E">
        <w:t>]</w:t>
      </w:r>
      <w:r w:rsidRPr="00DA0F1E">
        <w:t xml:space="preserve"> in Falls Church and North Spring </w:t>
      </w:r>
      <w:r w:rsidR="001E0265" w:rsidRPr="00DA0F1E">
        <w:t>Behavio</w:t>
      </w:r>
      <w:r w:rsidR="00DA0F1E" w:rsidRPr="00DA0F1E">
        <w:t xml:space="preserve">ral </w:t>
      </w:r>
      <w:r w:rsidRPr="00DA0F1E">
        <w:t>Health</w:t>
      </w:r>
      <w:r w:rsidR="001E0265" w:rsidRPr="00DA0F1E">
        <w:t>c</w:t>
      </w:r>
      <w:r w:rsidRPr="00DA0F1E">
        <w:t xml:space="preserve">are </w:t>
      </w:r>
      <w:r w:rsidR="004B7490" w:rsidRPr="00DA0F1E">
        <w:t>[</w:t>
      </w:r>
      <w:r w:rsidRPr="00DA0F1E">
        <w:t>40 beds</w:t>
      </w:r>
      <w:r w:rsidR="00AE1F24" w:rsidRPr="00DA0F1E">
        <w:t>]</w:t>
      </w:r>
      <w:r w:rsidRPr="00DA0F1E">
        <w:t xml:space="preserve"> in Loudoun Count</w:t>
      </w:r>
      <w:r w:rsidR="00C10331" w:rsidRPr="00DA0F1E">
        <w:t>y</w:t>
      </w:r>
      <w:r w:rsidR="001E0265" w:rsidRPr="00DA0F1E">
        <w:t>,</w:t>
      </w:r>
      <w:r w:rsidR="004B7490" w:rsidRPr="00DA0F1E">
        <w:t xml:space="preserve"> and one rehabilitation hospital</w:t>
      </w:r>
      <w:r w:rsidR="00B950CA" w:rsidRPr="00DA0F1E">
        <w:t xml:space="preserve"> (Encompass Rehabilitation Hospital of Northern Virginia </w:t>
      </w:r>
      <w:r w:rsidR="0004736E" w:rsidRPr="00DA0F1E">
        <w:t xml:space="preserve">[60 </w:t>
      </w:r>
      <w:r w:rsidR="00FA08AE" w:rsidRPr="00DA0F1E">
        <w:t>beds] in Loudoun County.</w:t>
      </w:r>
      <w:r w:rsidR="00266915" w:rsidRPr="00DA0F1E">
        <w:t xml:space="preserve"> </w:t>
      </w:r>
      <w:r w:rsidR="00DA0F1E" w:rsidRPr="00DA0F1E">
        <w:t>North Spring</w:t>
      </w:r>
      <w:r w:rsidR="00330A79" w:rsidRPr="00DA0F1E">
        <w:t xml:space="preserve"> did not report usable </w:t>
      </w:r>
      <w:r w:rsidR="00FD5A57" w:rsidRPr="00DA0F1E">
        <w:t>2023</w:t>
      </w:r>
      <w:r w:rsidR="00B31DE7" w:rsidRPr="00DA0F1E">
        <w:t xml:space="preserve"> </w:t>
      </w:r>
      <w:r w:rsidR="00330A79" w:rsidRPr="00DA0F1E">
        <w:t>service volumes for i</w:t>
      </w:r>
      <w:r w:rsidR="00641700" w:rsidRPr="00DA0F1E">
        <w:t xml:space="preserve">ts </w:t>
      </w:r>
      <w:r w:rsidR="00FD5A57" w:rsidRPr="00DA0F1E">
        <w:t>40 hospital beds</w:t>
      </w:r>
      <w:r w:rsidR="00B31DE7" w:rsidRPr="00DA0F1E">
        <w:t>.</w:t>
      </w:r>
      <w:r w:rsidR="000C2E37" w:rsidRPr="00DA0F1E">
        <w:t xml:space="preserve"> I</w:t>
      </w:r>
      <w:r w:rsidR="00B31DE7" w:rsidRPr="00DA0F1E">
        <w:t>t</w:t>
      </w:r>
      <w:r w:rsidR="00FC4710" w:rsidRPr="00DA0F1E">
        <w:t>s</w:t>
      </w:r>
      <w:r w:rsidR="000C2E37" w:rsidRPr="00DA0F1E">
        <w:t xml:space="preserve"> </w:t>
      </w:r>
      <w:r w:rsidR="00FC4710" w:rsidRPr="00DA0F1E">
        <w:t>service</w:t>
      </w:r>
      <w:r w:rsidR="000C2E37" w:rsidRPr="00DA0F1E">
        <w:t xml:space="preserve"> volume</w:t>
      </w:r>
      <w:r w:rsidR="00D7516D" w:rsidRPr="00DA0F1E">
        <w:t>s are not</w:t>
      </w:r>
      <w:r w:rsidR="00B31DE7" w:rsidRPr="00DA0F1E">
        <w:t xml:space="preserve"> included in Table</w:t>
      </w:r>
      <w:r w:rsidR="003515FC" w:rsidRPr="00DA0F1E">
        <w:t xml:space="preserve"> 1.</w:t>
      </w:r>
      <w:r w:rsidR="00FD5A57">
        <w:t xml:space="preserve"> </w:t>
      </w:r>
      <w:r w:rsidR="00641700">
        <w:t xml:space="preserve"> </w:t>
      </w:r>
    </w:p>
    <w:p w14:paraId="2BD40C98" w14:textId="77777777" w:rsidR="000C2E37" w:rsidRDefault="000C2E37">
      <w:pPr>
        <w:pStyle w:val="FootnoteText"/>
      </w:pPr>
    </w:p>
    <w:p w14:paraId="67754F3E" w14:textId="77E894B6" w:rsidR="00706907" w:rsidRDefault="00955096">
      <w:pPr>
        <w:pStyle w:val="FootnoteText"/>
      </w:pPr>
      <w:r>
        <w:t xml:space="preserve">Note: Inova </w:t>
      </w:r>
      <w:r w:rsidR="000C2E37">
        <w:t>Alexandria</w:t>
      </w:r>
      <w:r>
        <w:t xml:space="preserve"> Hospital </w:t>
      </w:r>
      <w:r w:rsidR="00DA0F1E">
        <w:t>is being</w:t>
      </w:r>
      <w:r>
        <w:t xml:space="preserve"> relocated and replaced by two smaller facilities</w:t>
      </w:r>
      <w:r w:rsidR="00FE7018">
        <w:t xml:space="preserve"> (at Landmark and in Springfield (</w:t>
      </w:r>
      <w:r w:rsidR="000C2E37">
        <w:t>Fairfax</w:t>
      </w:r>
      <w:r w:rsidR="00FE7018">
        <w:t xml:space="preserve"> County) later this decade. </w:t>
      </w:r>
      <w:r w:rsidR="0065761E">
        <w:t>Th</w:t>
      </w:r>
      <w:r w:rsidR="00F93167">
        <w:t>ese changes should be complete within the next</w:t>
      </w:r>
      <w:r w:rsidR="00D531F9">
        <w:t xml:space="preserve"> three to </w:t>
      </w:r>
      <w:r w:rsidR="00AE098D">
        <w:t xml:space="preserve">four </w:t>
      </w:r>
      <w:r w:rsidR="00D531F9">
        <w:t xml:space="preserve">years. </w:t>
      </w:r>
      <w:r w:rsidR="00FE7018">
        <w:t>There</w:t>
      </w:r>
      <w:r w:rsidR="000C2E37">
        <w:t xml:space="preserve"> will be no</w:t>
      </w:r>
      <w:r w:rsidR="00FC4710">
        <w:t xml:space="preserve"> </w:t>
      </w:r>
      <w:r w:rsidR="000C2E37">
        <w:t>increase in licensed bed capacity.</w:t>
      </w:r>
    </w:p>
    <w:p w14:paraId="55857455" w14:textId="77777777" w:rsidR="00706907" w:rsidRDefault="00706907">
      <w:pPr>
        <w:pStyle w:val="FootnoteText"/>
      </w:pPr>
    </w:p>
  </w:footnote>
  <w:footnote w:id="3">
    <w:p w14:paraId="655A440A" w14:textId="3D9EDFEF" w:rsidR="00BD6C33" w:rsidRDefault="00BD6C33" w:rsidP="00BD6C33">
      <w:r>
        <w:rPr>
          <w:rStyle w:val="FootnoteReference"/>
        </w:rPr>
        <w:footnoteRef/>
      </w:r>
      <w:r>
        <w:t xml:space="preserve"> </w:t>
      </w:r>
      <w:r w:rsidRPr="009E3288">
        <w:rPr>
          <w:sz w:val="20"/>
        </w:rPr>
        <w:t xml:space="preserve">These data and calculations are for </w:t>
      </w:r>
      <w:r w:rsidR="00134175" w:rsidRPr="009E3288">
        <w:rPr>
          <w:sz w:val="20"/>
        </w:rPr>
        <w:t>facility-based</w:t>
      </w:r>
      <w:r w:rsidRPr="009E3288">
        <w:rPr>
          <w:sz w:val="20"/>
        </w:rPr>
        <w:t xml:space="preserve"> hospital discharge and inpatient day data. Population based (</w:t>
      </w:r>
      <w:r w:rsidR="00FF518D">
        <w:rPr>
          <w:sz w:val="20"/>
        </w:rPr>
        <w:t>n</w:t>
      </w:r>
      <w:r w:rsidRPr="009E3288">
        <w:rPr>
          <w:sz w:val="20"/>
        </w:rPr>
        <w:t xml:space="preserve">orthern Virginia resident) hospital use rates (discharges and </w:t>
      </w:r>
      <w:r>
        <w:rPr>
          <w:sz w:val="20"/>
        </w:rPr>
        <w:t xml:space="preserve">inpatient days per 1,000 </w:t>
      </w:r>
      <w:r w:rsidR="004376F8">
        <w:rPr>
          <w:sz w:val="20"/>
        </w:rPr>
        <w:t>n</w:t>
      </w:r>
      <w:r>
        <w:rPr>
          <w:sz w:val="20"/>
        </w:rPr>
        <w:t>orthern Virginia residents</w:t>
      </w:r>
      <w:r w:rsidRPr="009E3288">
        <w:rPr>
          <w:sz w:val="20"/>
        </w:rPr>
        <w:t>) are lower, substantially lower than na</w:t>
      </w:r>
      <w:r>
        <w:rPr>
          <w:sz w:val="20"/>
        </w:rPr>
        <w:t xml:space="preserve">tional, state, and </w:t>
      </w:r>
      <w:r w:rsidRPr="009E3288">
        <w:rPr>
          <w:sz w:val="20"/>
        </w:rPr>
        <w:t xml:space="preserve">Washington metropolitan area rates. </w:t>
      </w:r>
      <w:r w:rsidR="004376F8">
        <w:rPr>
          <w:sz w:val="20"/>
        </w:rPr>
        <w:t>Inpatien</w:t>
      </w:r>
      <w:r w:rsidR="004764AF">
        <w:rPr>
          <w:sz w:val="20"/>
        </w:rPr>
        <w:t>t hospital use rates are decreasing nationally and statewide. The decreases in norther</w:t>
      </w:r>
      <w:r w:rsidR="000F4411">
        <w:rPr>
          <w:sz w:val="20"/>
        </w:rPr>
        <w:t>n</w:t>
      </w:r>
      <w:r w:rsidR="004764AF">
        <w:rPr>
          <w:sz w:val="20"/>
        </w:rPr>
        <w:t xml:space="preserve"> Virginia </w:t>
      </w:r>
      <w:r w:rsidR="000F4411">
        <w:rPr>
          <w:sz w:val="20"/>
        </w:rPr>
        <w:t>have been and remain steeper (larger) than</w:t>
      </w:r>
      <w:r w:rsidR="004C1DA4">
        <w:rPr>
          <w:sz w:val="20"/>
        </w:rPr>
        <w:t xml:space="preserve"> those in Virginia</w:t>
      </w:r>
      <w:r w:rsidR="007E3B9A">
        <w:rPr>
          <w:sz w:val="20"/>
        </w:rPr>
        <w:t xml:space="preserve"> statewide</w:t>
      </w:r>
      <w:r w:rsidR="00A64E27">
        <w:rPr>
          <w:sz w:val="20"/>
        </w:rPr>
        <w:t xml:space="preserve">. </w:t>
      </w:r>
      <w:r w:rsidR="004C1DA4">
        <w:rPr>
          <w:sz w:val="20"/>
        </w:rPr>
        <w:t xml:space="preserve"> </w:t>
      </w:r>
    </w:p>
  </w:footnote>
  <w:footnote w:id="4">
    <w:p w14:paraId="291BB9CE" w14:textId="4B822B08" w:rsidR="00CA19E3" w:rsidRPr="00CA1231" w:rsidRDefault="00CA19E3" w:rsidP="00F736B4">
      <w:pPr>
        <w:pStyle w:val="FootnoteText"/>
        <w:rPr>
          <w:sz w:val="18"/>
          <w:szCs w:val="18"/>
        </w:rPr>
      </w:pPr>
      <w:r>
        <w:rPr>
          <w:rStyle w:val="FootnoteReference"/>
        </w:rPr>
        <w:footnoteRef/>
      </w:r>
      <w:r>
        <w:t xml:space="preserve"> </w:t>
      </w:r>
      <w:r w:rsidRPr="00CA1231">
        <w:rPr>
          <w:sz w:val="18"/>
          <w:szCs w:val="18"/>
        </w:rPr>
        <w:t xml:space="preserve">Though there is no direct financing expense assigned to </w:t>
      </w:r>
      <w:r w:rsidR="00FA12BB" w:rsidRPr="00CA1231">
        <w:rPr>
          <w:sz w:val="18"/>
          <w:szCs w:val="18"/>
        </w:rPr>
        <w:t>the</w:t>
      </w:r>
      <w:r w:rsidRPr="00CA1231">
        <w:rPr>
          <w:sz w:val="18"/>
          <w:szCs w:val="18"/>
        </w:rPr>
        <w:t xml:space="preserve"> project, there are substantial financing costs inherent in large capital investments. Inova and other health care systems obtain funds from operations, from </w:t>
      </w:r>
      <w:r w:rsidR="00F91229" w:rsidRPr="00CA1231">
        <w:rPr>
          <w:sz w:val="18"/>
          <w:szCs w:val="18"/>
        </w:rPr>
        <w:t xml:space="preserve">earnings </w:t>
      </w:r>
      <w:r w:rsidR="0068733C" w:rsidRPr="00CA1231">
        <w:rPr>
          <w:sz w:val="18"/>
          <w:szCs w:val="18"/>
        </w:rPr>
        <w:t>on</w:t>
      </w:r>
      <w:r w:rsidRPr="00CA1231">
        <w:rPr>
          <w:sz w:val="18"/>
          <w:szCs w:val="18"/>
        </w:rPr>
        <w:t xml:space="preserve"> retained capital</w:t>
      </w:r>
      <w:r w:rsidR="0068733C" w:rsidRPr="00CA1231">
        <w:rPr>
          <w:sz w:val="18"/>
          <w:szCs w:val="18"/>
        </w:rPr>
        <w:t>,</w:t>
      </w:r>
      <w:r w:rsidRPr="00CA1231">
        <w:rPr>
          <w:sz w:val="18"/>
          <w:szCs w:val="18"/>
        </w:rPr>
        <w:t xml:space="preserve"> and from borrowing. </w:t>
      </w:r>
      <w:r w:rsidR="006235EE" w:rsidRPr="00CA1231">
        <w:rPr>
          <w:sz w:val="18"/>
          <w:szCs w:val="18"/>
        </w:rPr>
        <w:t>T</w:t>
      </w:r>
      <w:r w:rsidRPr="00CA1231">
        <w:rPr>
          <w:sz w:val="18"/>
          <w:szCs w:val="18"/>
        </w:rPr>
        <w:t xml:space="preserve">he </w:t>
      </w:r>
      <w:r w:rsidR="00A3201E" w:rsidRPr="00CA1231">
        <w:rPr>
          <w:sz w:val="18"/>
          <w:szCs w:val="18"/>
        </w:rPr>
        <w:t xml:space="preserve">unstated </w:t>
      </w:r>
      <w:r w:rsidR="006235EE" w:rsidRPr="00CA1231">
        <w:rPr>
          <w:sz w:val="18"/>
          <w:szCs w:val="18"/>
        </w:rPr>
        <w:t>financing cost</w:t>
      </w:r>
      <w:r w:rsidR="007B00C2" w:rsidRPr="00CA1231">
        <w:rPr>
          <w:sz w:val="18"/>
          <w:szCs w:val="18"/>
        </w:rPr>
        <w:t xml:space="preserve"> is </w:t>
      </w:r>
      <w:r w:rsidRPr="00CA1231">
        <w:rPr>
          <w:sz w:val="18"/>
          <w:szCs w:val="18"/>
        </w:rPr>
        <w:t xml:space="preserve">essentially the market investment grade corporate bond rate. </w:t>
      </w:r>
    </w:p>
    <w:p w14:paraId="27B3E92E" w14:textId="77777777" w:rsidR="00CA19E3" w:rsidRPr="00CA1231" w:rsidRDefault="00CA19E3" w:rsidP="00F736B4">
      <w:pPr>
        <w:pStyle w:val="FootnoteText"/>
        <w:rPr>
          <w:sz w:val="18"/>
          <w:szCs w:val="18"/>
        </w:rPr>
      </w:pPr>
    </w:p>
    <w:p w14:paraId="69D5DB8E" w14:textId="3D0E8621" w:rsidR="00E47BFC" w:rsidRPr="00A3201E" w:rsidRDefault="00CA19E3" w:rsidP="00A87984">
      <w:pPr>
        <w:pStyle w:val="FootnoteText"/>
        <w:rPr>
          <w:sz w:val="18"/>
          <w:szCs w:val="18"/>
        </w:rPr>
      </w:pPr>
      <w:r w:rsidRPr="00A3201E">
        <w:rPr>
          <w:sz w:val="18"/>
          <w:szCs w:val="18"/>
        </w:rPr>
        <w:t xml:space="preserve">The bond interest rate is determined by the credit rating assigned to the borrower by a handful of rating services. Inova </w:t>
      </w:r>
      <w:r w:rsidR="00E47BFC" w:rsidRPr="00A3201E">
        <w:rPr>
          <w:sz w:val="18"/>
          <w:szCs w:val="18"/>
        </w:rPr>
        <w:t xml:space="preserve">Health System </w:t>
      </w:r>
      <w:r w:rsidRPr="00A3201E">
        <w:rPr>
          <w:sz w:val="18"/>
          <w:szCs w:val="18"/>
        </w:rPr>
        <w:t>ha</w:t>
      </w:r>
      <w:r w:rsidR="00C85E6E" w:rsidRPr="00A3201E">
        <w:rPr>
          <w:sz w:val="18"/>
          <w:szCs w:val="18"/>
        </w:rPr>
        <w:t>s</w:t>
      </w:r>
      <w:r w:rsidRPr="00A3201E">
        <w:rPr>
          <w:sz w:val="18"/>
          <w:szCs w:val="18"/>
        </w:rPr>
        <w:t xml:space="preserve"> strong, investment grade ratings</w:t>
      </w:r>
      <w:r w:rsidR="009E74C2" w:rsidRPr="00A3201E">
        <w:rPr>
          <w:sz w:val="18"/>
          <w:szCs w:val="18"/>
        </w:rPr>
        <w:t>.</w:t>
      </w:r>
      <w:r w:rsidR="00A87984">
        <w:rPr>
          <w:sz w:val="18"/>
          <w:szCs w:val="18"/>
        </w:rPr>
        <w:t xml:space="preserve"> </w:t>
      </w:r>
      <w:r w:rsidR="008030FB" w:rsidRPr="00A3201E">
        <w:rPr>
          <w:sz w:val="18"/>
          <w:szCs w:val="18"/>
        </w:rPr>
        <w:t>Last summer (Jul</w:t>
      </w:r>
      <w:r w:rsidR="00A3201E" w:rsidRPr="00A3201E">
        <w:rPr>
          <w:sz w:val="18"/>
          <w:szCs w:val="18"/>
        </w:rPr>
        <w:t>y</w:t>
      </w:r>
      <w:r w:rsidR="008030FB" w:rsidRPr="00A3201E">
        <w:rPr>
          <w:sz w:val="18"/>
          <w:szCs w:val="18"/>
        </w:rPr>
        <w:t xml:space="preserve"> 2024) </w:t>
      </w:r>
      <w:r w:rsidR="00E47BFC" w:rsidRPr="00A3201E">
        <w:rPr>
          <w:sz w:val="18"/>
          <w:szCs w:val="18"/>
        </w:rPr>
        <w:t xml:space="preserve">S&amp;P Global Ratings assigned </w:t>
      </w:r>
      <w:proofErr w:type="gramStart"/>
      <w:r w:rsidR="008030FB" w:rsidRPr="00A3201E">
        <w:rPr>
          <w:sz w:val="18"/>
          <w:szCs w:val="18"/>
        </w:rPr>
        <w:t>a</w:t>
      </w:r>
      <w:proofErr w:type="gramEnd"/>
      <w:r w:rsidR="00E47BFC" w:rsidRPr="00A3201E">
        <w:rPr>
          <w:sz w:val="18"/>
          <w:szCs w:val="18"/>
        </w:rPr>
        <w:t xml:space="preserve"> 'AA+' long-term rating to the Fairfax County Industrial Development Authority,</w:t>
      </w:r>
      <w:r w:rsidR="008D64D7">
        <w:rPr>
          <w:sz w:val="18"/>
          <w:szCs w:val="18"/>
        </w:rPr>
        <w:t xml:space="preserve"> </w:t>
      </w:r>
      <w:r w:rsidR="00E47BFC" w:rsidRPr="00A3201E">
        <w:rPr>
          <w:sz w:val="18"/>
          <w:szCs w:val="18"/>
        </w:rPr>
        <w:t>$400 million tax exempt series 2024 health care revenue bonds, issued on behalf of Inova Health System Foundation.</w:t>
      </w:r>
      <w:r w:rsidR="001A5A2D" w:rsidRPr="00A3201E">
        <w:rPr>
          <w:sz w:val="18"/>
          <w:szCs w:val="18"/>
        </w:rPr>
        <w:t xml:space="preserve"> </w:t>
      </w:r>
      <w:r w:rsidR="000B1FC2">
        <w:rPr>
          <w:sz w:val="18"/>
          <w:szCs w:val="18"/>
        </w:rPr>
        <w:t>A</w:t>
      </w:r>
      <w:r w:rsidR="009E74C2" w:rsidRPr="00A3201E">
        <w:rPr>
          <w:sz w:val="18"/>
          <w:szCs w:val="18"/>
        </w:rPr>
        <w:t>mong other considerations</w:t>
      </w:r>
      <w:r w:rsidR="00890AE1" w:rsidRPr="00A3201E">
        <w:rPr>
          <w:sz w:val="18"/>
          <w:szCs w:val="18"/>
        </w:rPr>
        <w:t xml:space="preserve">, the assessment stated: </w:t>
      </w:r>
    </w:p>
    <w:p w14:paraId="6FC66A4E" w14:textId="77777777" w:rsidR="00890AE1" w:rsidRPr="00A3201E" w:rsidRDefault="00890AE1" w:rsidP="008030FB">
      <w:pPr>
        <w:pStyle w:val="FootnoteText"/>
        <w:jc w:val="both"/>
        <w:rPr>
          <w:sz w:val="18"/>
          <w:szCs w:val="18"/>
        </w:rPr>
      </w:pPr>
    </w:p>
    <w:p w14:paraId="04A3D983" w14:textId="6E1E02BB" w:rsidR="00890AE1" w:rsidRPr="00A3201E" w:rsidRDefault="00890AE1" w:rsidP="00890AE1">
      <w:pPr>
        <w:rPr>
          <w:sz w:val="18"/>
          <w:szCs w:val="18"/>
        </w:rPr>
      </w:pPr>
      <w:r w:rsidRPr="00A3201E">
        <w:rPr>
          <w:sz w:val="18"/>
          <w:szCs w:val="18"/>
        </w:rPr>
        <w:t>“The 'AA+' rating reflects our opinion of Inova's excellent enterprise profile, which is characterized by its leading business position as an integrated delivery system with a comprehensive network of hospitals, outpatient services and facilities, primary and specialty care physician practices, and health and wellness initiatives serving the economically robust northern Virginia-Washington, D.C. metropolitan area, and contiguous counties in Virginia and Maryland.</w:t>
      </w:r>
    </w:p>
    <w:p w14:paraId="1CDC3143" w14:textId="77777777" w:rsidR="00890AE1" w:rsidRPr="007C1B57" w:rsidRDefault="00890AE1" w:rsidP="00890AE1"/>
    <w:p w14:paraId="62A94FE1" w14:textId="54359C1B" w:rsidR="0078055D" w:rsidRPr="00A3201E" w:rsidRDefault="00890AE1" w:rsidP="0078055D">
      <w:pPr>
        <w:rPr>
          <w:sz w:val="18"/>
          <w:szCs w:val="18"/>
        </w:rPr>
      </w:pPr>
      <w:r w:rsidRPr="00A3201E">
        <w:rPr>
          <w:sz w:val="18"/>
          <w:szCs w:val="18"/>
        </w:rPr>
        <w:t xml:space="preserve">The rating also reflects our view of Inova's extremely strong financial profile, generating improved operating results, contributing to solid coverage of pro forma maximum annual debt service and a balance sheet that remains a core credit strength. Inova's operating performance showed steady improvement in fiscal 2023 and through the three-month interim period ended March 31, 2024, driven by strong demand for services, higher case mix and revenue growth, offset by continued wage and inflationary pressures in the health care sector.”  </w:t>
      </w:r>
    </w:p>
    <w:p w14:paraId="41821F0D" w14:textId="2EBEA414" w:rsidR="0078055D" w:rsidRPr="00A3201E" w:rsidRDefault="00890AE1" w:rsidP="0078055D">
      <w:pPr>
        <w:rPr>
          <w:sz w:val="18"/>
          <w:szCs w:val="18"/>
        </w:rPr>
      </w:pPr>
      <w:r w:rsidRPr="00A3201E">
        <w:rPr>
          <w:sz w:val="18"/>
          <w:szCs w:val="18"/>
        </w:rPr>
        <w:t xml:space="preserve">See </w:t>
      </w:r>
      <w:r w:rsidR="0078055D" w:rsidRPr="00A3201E">
        <w:rPr>
          <w:sz w:val="18"/>
          <w:szCs w:val="18"/>
        </w:rPr>
        <w:t xml:space="preserve"> </w:t>
      </w:r>
      <w:hyperlink r:id="rId1" w:history="1">
        <w:r w:rsidR="0078055D" w:rsidRPr="00A3201E">
          <w:rPr>
            <w:rStyle w:val="Hyperlink"/>
            <w:sz w:val="18"/>
            <w:szCs w:val="18"/>
          </w:rPr>
          <w:t>https://disclosure.spglobal.com/ratings/en/regulatory/article/-/view/type/HTML/id/3218014</w:t>
        </w:r>
      </w:hyperlink>
    </w:p>
    <w:p w14:paraId="70C65B27" w14:textId="77777777" w:rsidR="00890AE1" w:rsidRDefault="00890AE1" w:rsidP="008030FB">
      <w:pPr>
        <w:pStyle w:val="FootnoteText"/>
        <w:jc w:val="both"/>
      </w:pPr>
    </w:p>
    <w:p w14:paraId="61CE4796" w14:textId="77777777" w:rsidR="00890AE1" w:rsidRDefault="00890AE1" w:rsidP="008030FB">
      <w:pPr>
        <w:pStyle w:val="FootnoteText"/>
        <w:jc w:val="both"/>
      </w:pPr>
    </w:p>
    <w:p w14:paraId="4881FB1B" w14:textId="77777777" w:rsidR="00890AE1" w:rsidRDefault="00890AE1" w:rsidP="008030FB">
      <w:pPr>
        <w:pStyle w:val="FootnoteText"/>
        <w:jc w:val="both"/>
      </w:pPr>
    </w:p>
    <w:p w14:paraId="35251144" w14:textId="77777777" w:rsidR="00CA19E3" w:rsidRDefault="00CA19E3" w:rsidP="00F736B4">
      <w:pPr>
        <w:pStyle w:val="FootnoteText"/>
      </w:pPr>
    </w:p>
    <w:p w14:paraId="75246283" w14:textId="77777777" w:rsidR="00CA19E3" w:rsidRDefault="00CA19E3" w:rsidP="00F736B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5E6DD" w14:textId="78B98C7D" w:rsidR="00CA19E3" w:rsidRPr="005D4D14" w:rsidRDefault="00CA19E3" w:rsidP="00B8339B">
    <w:pPr>
      <w:rPr>
        <w:b/>
        <w:sz w:val="20"/>
      </w:rPr>
    </w:pPr>
    <w:r w:rsidRPr="005D4D14">
      <w:rPr>
        <w:b/>
        <w:sz w:val="20"/>
      </w:rPr>
      <w:t>Inova Health Care Services</w:t>
    </w:r>
    <w:r>
      <w:rPr>
        <w:b/>
        <w:sz w:val="20"/>
      </w:rPr>
      <w:t xml:space="preserve">, </w:t>
    </w:r>
    <w:r w:rsidR="00D42E6B">
      <w:rPr>
        <w:b/>
        <w:sz w:val="20"/>
      </w:rPr>
      <w:t>Expand</w:t>
    </w:r>
    <w:r w:rsidRPr="005D4D14">
      <w:rPr>
        <w:b/>
        <w:sz w:val="20"/>
      </w:rPr>
      <w:t xml:space="preserve"> Inova Fairfax Hospital (COPN Request VA-8</w:t>
    </w:r>
    <w:r w:rsidR="00B856DA">
      <w:rPr>
        <w:b/>
        <w:sz w:val="20"/>
      </w:rPr>
      <w:t>803</w:t>
    </w:r>
    <w:r w:rsidRPr="005D4D14">
      <w:rPr>
        <w:b/>
        <w:sz w:val="20"/>
      </w:rPr>
      <w:t>)</w:t>
    </w:r>
  </w:p>
  <w:p w14:paraId="19467A83" w14:textId="47DDA807" w:rsidR="00CA19E3" w:rsidRPr="005D4D14" w:rsidRDefault="00345755" w:rsidP="00BD27E9">
    <w:pPr>
      <w:pStyle w:val="BodyTextIndent"/>
      <w:ind w:left="0"/>
      <w:rPr>
        <w:sz w:val="20"/>
      </w:rPr>
    </w:pPr>
    <w:r>
      <w:rPr>
        <w:sz w:val="20"/>
      </w:rPr>
      <w:t xml:space="preserve">April </w:t>
    </w:r>
    <w:r w:rsidR="0019548F">
      <w:rPr>
        <w:sz w:val="20"/>
      </w:rPr>
      <w:t>2,</w:t>
    </w:r>
    <w:r w:rsidR="00CA19E3" w:rsidRPr="005D4D14">
      <w:rPr>
        <w:sz w:val="20"/>
      </w:rPr>
      <w:t xml:space="preserve"> 20</w:t>
    </w:r>
    <w:r w:rsidR="00B856DA">
      <w:rPr>
        <w:sz w:val="20"/>
      </w:rPr>
      <w:t>25</w:t>
    </w:r>
  </w:p>
  <w:p w14:paraId="3FD6BF58" w14:textId="2C483579" w:rsidR="00CA19E3" w:rsidRPr="00F37D40" w:rsidRDefault="00CA19E3" w:rsidP="00F37D40">
    <w:pPr>
      <w:pStyle w:val="BodyTextIndent"/>
      <w:ind w:left="0"/>
      <w:rPr>
        <w:b w:val="0"/>
      </w:rPr>
    </w:pPr>
    <w:r>
      <w:rPr>
        <w:b w:val="0"/>
      </w:rPr>
      <w:t>________________________________________________________________________</w:t>
    </w:r>
  </w:p>
  <w:p w14:paraId="2C775EF3" w14:textId="77777777" w:rsidR="00CA19E3" w:rsidRDefault="00CA1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none"/>
      <w:suff w:val="nothing"/>
      <w:lvlText w:val="!"/>
      <w:lvlJc w:val="left"/>
      <w:rPr>
        <w:rFonts w:ascii="WP TypographicSymbols" w:hAnsi="WP TypographicSymbols" w:cs="Times New Roman"/>
      </w:rPr>
    </w:lvl>
  </w:abstractNum>
  <w:abstractNum w:abstractNumId="1" w15:restartNumberingAfterBreak="0">
    <w:nsid w:val="00C52A55"/>
    <w:multiLevelType w:val="hybridMultilevel"/>
    <w:tmpl w:val="60B6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B62B8"/>
    <w:multiLevelType w:val="hybridMultilevel"/>
    <w:tmpl w:val="EE52602E"/>
    <w:lvl w:ilvl="0" w:tplc="E4728432">
      <w:start w:val="1"/>
      <w:numFmt w:val="upperLetter"/>
      <w:lvlText w:val="%1."/>
      <w:lvlJc w:val="left"/>
      <w:pPr>
        <w:ind w:left="1413" w:hanging="360"/>
      </w:pPr>
      <w:rPr>
        <w:rFonts w:hint="default"/>
        <w:b w:val="0"/>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3" w15:restartNumberingAfterBreak="0">
    <w:nsid w:val="07CE0FD7"/>
    <w:multiLevelType w:val="hybridMultilevel"/>
    <w:tmpl w:val="E110B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8F6B46"/>
    <w:multiLevelType w:val="hybridMultilevel"/>
    <w:tmpl w:val="4ABA4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3C0E61"/>
    <w:multiLevelType w:val="hybridMultilevel"/>
    <w:tmpl w:val="6872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2242EA"/>
    <w:multiLevelType w:val="hybridMultilevel"/>
    <w:tmpl w:val="DB169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62742"/>
    <w:multiLevelType w:val="hybridMultilevel"/>
    <w:tmpl w:val="7360C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4E6DE7"/>
    <w:multiLevelType w:val="hybridMultilevel"/>
    <w:tmpl w:val="3F0AF4D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B93523D"/>
    <w:multiLevelType w:val="hybridMultilevel"/>
    <w:tmpl w:val="AF6E96D6"/>
    <w:lvl w:ilvl="0" w:tplc="1F2656B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33061A25"/>
    <w:multiLevelType w:val="multilevel"/>
    <w:tmpl w:val="7B92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975689"/>
    <w:multiLevelType w:val="hybridMultilevel"/>
    <w:tmpl w:val="5FD4A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894A73"/>
    <w:multiLevelType w:val="hybridMultilevel"/>
    <w:tmpl w:val="BDAC27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8A2EF7"/>
    <w:multiLevelType w:val="hybridMultilevel"/>
    <w:tmpl w:val="D3F0318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3FCA7347"/>
    <w:multiLevelType w:val="hybridMultilevel"/>
    <w:tmpl w:val="A886A2B0"/>
    <w:lvl w:ilvl="0" w:tplc="3ABED7F0">
      <w:start w:val="1"/>
      <w:numFmt w:val="upperLetter"/>
      <w:lvlText w:val="%1."/>
      <w:lvlJc w:val="left"/>
      <w:pPr>
        <w:tabs>
          <w:tab w:val="num" w:pos="645"/>
        </w:tabs>
        <w:ind w:left="645" w:hanging="360"/>
      </w:pPr>
      <w:rPr>
        <w:rFonts w:cs="Times New Roman" w:hint="default"/>
      </w:rPr>
    </w:lvl>
    <w:lvl w:ilvl="1" w:tplc="04090019" w:tentative="1">
      <w:start w:val="1"/>
      <w:numFmt w:val="lowerLetter"/>
      <w:lvlText w:val="%2."/>
      <w:lvlJc w:val="left"/>
      <w:pPr>
        <w:tabs>
          <w:tab w:val="num" w:pos="1365"/>
        </w:tabs>
        <w:ind w:left="1365" w:hanging="360"/>
      </w:pPr>
      <w:rPr>
        <w:rFonts w:cs="Times New Roman"/>
      </w:rPr>
    </w:lvl>
    <w:lvl w:ilvl="2" w:tplc="0409001B" w:tentative="1">
      <w:start w:val="1"/>
      <w:numFmt w:val="lowerRoman"/>
      <w:lvlText w:val="%3."/>
      <w:lvlJc w:val="right"/>
      <w:pPr>
        <w:tabs>
          <w:tab w:val="num" w:pos="2085"/>
        </w:tabs>
        <w:ind w:left="2085" w:hanging="180"/>
      </w:pPr>
      <w:rPr>
        <w:rFonts w:cs="Times New Roman"/>
      </w:rPr>
    </w:lvl>
    <w:lvl w:ilvl="3" w:tplc="0409000F" w:tentative="1">
      <w:start w:val="1"/>
      <w:numFmt w:val="decimal"/>
      <w:lvlText w:val="%4."/>
      <w:lvlJc w:val="left"/>
      <w:pPr>
        <w:tabs>
          <w:tab w:val="num" w:pos="2805"/>
        </w:tabs>
        <w:ind w:left="2805" w:hanging="360"/>
      </w:pPr>
      <w:rPr>
        <w:rFonts w:cs="Times New Roman"/>
      </w:rPr>
    </w:lvl>
    <w:lvl w:ilvl="4" w:tplc="04090019" w:tentative="1">
      <w:start w:val="1"/>
      <w:numFmt w:val="lowerLetter"/>
      <w:lvlText w:val="%5."/>
      <w:lvlJc w:val="left"/>
      <w:pPr>
        <w:tabs>
          <w:tab w:val="num" w:pos="3525"/>
        </w:tabs>
        <w:ind w:left="3525" w:hanging="360"/>
      </w:pPr>
      <w:rPr>
        <w:rFonts w:cs="Times New Roman"/>
      </w:rPr>
    </w:lvl>
    <w:lvl w:ilvl="5" w:tplc="0409001B" w:tentative="1">
      <w:start w:val="1"/>
      <w:numFmt w:val="lowerRoman"/>
      <w:lvlText w:val="%6."/>
      <w:lvlJc w:val="right"/>
      <w:pPr>
        <w:tabs>
          <w:tab w:val="num" w:pos="4245"/>
        </w:tabs>
        <w:ind w:left="4245" w:hanging="180"/>
      </w:pPr>
      <w:rPr>
        <w:rFonts w:cs="Times New Roman"/>
      </w:rPr>
    </w:lvl>
    <w:lvl w:ilvl="6" w:tplc="0409000F" w:tentative="1">
      <w:start w:val="1"/>
      <w:numFmt w:val="decimal"/>
      <w:lvlText w:val="%7."/>
      <w:lvlJc w:val="left"/>
      <w:pPr>
        <w:tabs>
          <w:tab w:val="num" w:pos="4965"/>
        </w:tabs>
        <w:ind w:left="4965" w:hanging="360"/>
      </w:pPr>
      <w:rPr>
        <w:rFonts w:cs="Times New Roman"/>
      </w:rPr>
    </w:lvl>
    <w:lvl w:ilvl="7" w:tplc="04090019" w:tentative="1">
      <w:start w:val="1"/>
      <w:numFmt w:val="lowerLetter"/>
      <w:lvlText w:val="%8."/>
      <w:lvlJc w:val="left"/>
      <w:pPr>
        <w:tabs>
          <w:tab w:val="num" w:pos="5685"/>
        </w:tabs>
        <w:ind w:left="5685" w:hanging="360"/>
      </w:pPr>
      <w:rPr>
        <w:rFonts w:cs="Times New Roman"/>
      </w:rPr>
    </w:lvl>
    <w:lvl w:ilvl="8" w:tplc="0409001B" w:tentative="1">
      <w:start w:val="1"/>
      <w:numFmt w:val="lowerRoman"/>
      <w:lvlText w:val="%9."/>
      <w:lvlJc w:val="right"/>
      <w:pPr>
        <w:tabs>
          <w:tab w:val="num" w:pos="6405"/>
        </w:tabs>
        <w:ind w:left="6405" w:hanging="180"/>
      </w:pPr>
      <w:rPr>
        <w:rFonts w:cs="Times New Roman"/>
      </w:rPr>
    </w:lvl>
  </w:abstractNum>
  <w:abstractNum w:abstractNumId="16"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57B11"/>
    <w:multiLevelType w:val="hybridMultilevel"/>
    <w:tmpl w:val="36D281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06900C1"/>
    <w:multiLevelType w:val="hybridMultilevel"/>
    <w:tmpl w:val="B25E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0" w15:restartNumberingAfterBreak="0">
    <w:nsid w:val="5B896E38"/>
    <w:multiLevelType w:val="hybridMultilevel"/>
    <w:tmpl w:val="5BE034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BBC0877"/>
    <w:multiLevelType w:val="hybridMultilevel"/>
    <w:tmpl w:val="D43224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790D69"/>
    <w:multiLevelType w:val="hybridMultilevel"/>
    <w:tmpl w:val="370ADBB4"/>
    <w:lvl w:ilvl="0" w:tplc="BF0809B2">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AA6DB2"/>
    <w:multiLevelType w:val="multilevel"/>
    <w:tmpl w:val="4FC6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9B1670"/>
    <w:multiLevelType w:val="hybridMultilevel"/>
    <w:tmpl w:val="7AF484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35458478">
    <w:abstractNumId w:val="0"/>
  </w:num>
  <w:num w:numId="2" w16cid:durableId="922451239">
    <w:abstractNumId w:val="4"/>
  </w:num>
  <w:num w:numId="3" w16cid:durableId="8024113">
    <w:abstractNumId w:val="8"/>
  </w:num>
  <w:num w:numId="4" w16cid:durableId="1032653335">
    <w:abstractNumId w:val="13"/>
  </w:num>
  <w:num w:numId="5" w16cid:durableId="1271821308">
    <w:abstractNumId w:val="17"/>
  </w:num>
  <w:num w:numId="6" w16cid:durableId="1250192043">
    <w:abstractNumId w:val="20"/>
  </w:num>
  <w:num w:numId="7" w16cid:durableId="1321546531">
    <w:abstractNumId w:val="14"/>
  </w:num>
  <w:num w:numId="8" w16cid:durableId="1652294709">
    <w:abstractNumId w:val="15"/>
  </w:num>
  <w:num w:numId="9" w16cid:durableId="839661070">
    <w:abstractNumId w:val="10"/>
  </w:num>
  <w:num w:numId="10" w16cid:durableId="1330670425">
    <w:abstractNumId w:val="12"/>
  </w:num>
  <w:num w:numId="11" w16cid:durableId="965696520">
    <w:abstractNumId w:val="24"/>
  </w:num>
  <w:num w:numId="12" w16cid:durableId="519512509">
    <w:abstractNumId w:val="9"/>
  </w:num>
  <w:num w:numId="13" w16cid:durableId="1575818502">
    <w:abstractNumId w:val="18"/>
  </w:num>
  <w:num w:numId="14" w16cid:durableId="1032070662">
    <w:abstractNumId w:val="2"/>
  </w:num>
  <w:num w:numId="15" w16cid:durableId="1975213358">
    <w:abstractNumId w:val="19"/>
  </w:num>
  <w:num w:numId="16" w16cid:durableId="991904482">
    <w:abstractNumId w:val="6"/>
  </w:num>
  <w:num w:numId="17" w16cid:durableId="1381444642">
    <w:abstractNumId w:val="22"/>
  </w:num>
  <w:num w:numId="18" w16cid:durableId="1176962726">
    <w:abstractNumId w:val="16"/>
  </w:num>
  <w:num w:numId="19" w16cid:durableId="1351031956">
    <w:abstractNumId w:val="21"/>
  </w:num>
  <w:num w:numId="20" w16cid:durableId="552158669">
    <w:abstractNumId w:val="5"/>
  </w:num>
  <w:num w:numId="21" w16cid:durableId="2108118530">
    <w:abstractNumId w:val="3"/>
  </w:num>
  <w:num w:numId="22" w16cid:durableId="1597011903">
    <w:abstractNumId w:val="23"/>
  </w:num>
  <w:num w:numId="23" w16cid:durableId="1386445756">
    <w:abstractNumId w:val="7"/>
  </w:num>
  <w:num w:numId="24" w16cid:durableId="1046638599">
    <w:abstractNumId w:val="1"/>
  </w:num>
  <w:num w:numId="25" w16cid:durableId="9626616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bordersDoNotSurroundHeader/>
  <w:bordersDoNotSurroundFooter/>
  <w:proofState w:spelling="clean" w:grammar="clean"/>
  <w:defaultTabStop w:val="720"/>
  <w:hyphenationZone w:val="0"/>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DF4"/>
    <w:rsid w:val="000002A2"/>
    <w:rsid w:val="00002C48"/>
    <w:rsid w:val="00003540"/>
    <w:rsid w:val="00005456"/>
    <w:rsid w:val="00010355"/>
    <w:rsid w:val="0001183F"/>
    <w:rsid w:val="00014A4C"/>
    <w:rsid w:val="00014E13"/>
    <w:rsid w:val="00015D2E"/>
    <w:rsid w:val="00016607"/>
    <w:rsid w:val="00017596"/>
    <w:rsid w:val="00017DFB"/>
    <w:rsid w:val="000216DB"/>
    <w:rsid w:val="00021952"/>
    <w:rsid w:val="00027A98"/>
    <w:rsid w:val="000307DC"/>
    <w:rsid w:val="00030F77"/>
    <w:rsid w:val="0003315B"/>
    <w:rsid w:val="000333E7"/>
    <w:rsid w:val="000351DA"/>
    <w:rsid w:val="00044CF2"/>
    <w:rsid w:val="00045033"/>
    <w:rsid w:val="0004736E"/>
    <w:rsid w:val="000477DF"/>
    <w:rsid w:val="0005113C"/>
    <w:rsid w:val="00051639"/>
    <w:rsid w:val="00052741"/>
    <w:rsid w:val="00052C8A"/>
    <w:rsid w:val="000546E6"/>
    <w:rsid w:val="00056152"/>
    <w:rsid w:val="000569E5"/>
    <w:rsid w:val="00060369"/>
    <w:rsid w:val="00061888"/>
    <w:rsid w:val="00062313"/>
    <w:rsid w:val="00065002"/>
    <w:rsid w:val="000655C5"/>
    <w:rsid w:val="00066521"/>
    <w:rsid w:val="000666FC"/>
    <w:rsid w:val="00071570"/>
    <w:rsid w:val="00071AFF"/>
    <w:rsid w:val="000808C1"/>
    <w:rsid w:val="000811D2"/>
    <w:rsid w:val="0008149F"/>
    <w:rsid w:val="00083766"/>
    <w:rsid w:val="00085EB6"/>
    <w:rsid w:val="0008692D"/>
    <w:rsid w:val="00090920"/>
    <w:rsid w:val="0009666B"/>
    <w:rsid w:val="00096A4A"/>
    <w:rsid w:val="000973BD"/>
    <w:rsid w:val="000A07A4"/>
    <w:rsid w:val="000A1867"/>
    <w:rsid w:val="000A2979"/>
    <w:rsid w:val="000A3E17"/>
    <w:rsid w:val="000A4BC4"/>
    <w:rsid w:val="000A5767"/>
    <w:rsid w:val="000A63A8"/>
    <w:rsid w:val="000A6522"/>
    <w:rsid w:val="000A6B2E"/>
    <w:rsid w:val="000A7495"/>
    <w:rsid w:val="000B0023"/>
    <w:rsid w:val="000B1FC2"/>
    <w:rsid w:val="000B290E"/>
    <w:rsid w:val="000B2F21"/>
    <w:rsid w:val="000B4258"/>
    <w:rsid w:val="000B5A9E"/>
    <w:rsid w:val="000C1819"/>
    <w:rsid w:val="000C2AA4"/>
    <w:rsid w:val="000C2E37"/>
    <w:rsid w:val="000C7F99"/>
    <w:rsid w:val="000D0DF8"/>
    <w:rsid w:val="000D1E58"/>
    <w:rsid w:val="000D33F6"/>
    <w:rsid w:val="000D4B87"/>
    <w:rsid w:val="000D5C1B"/>
    <w:rsid w:val="000D6A77"/>
    <w:rsid w:val="000D6AF3"/>
    <w:rsid w:val="000E295D"/>
    <w:rsid w:val="000E4B74"/>
    <w:rsid w:val="000E5394"/>
    <w:rsid w:val="000F0F76"/>
    <w:rsid w:val="000F2B5D"/>
    <w:rsid w:val="000F4411"/>
    <w:rsid w:val="000F55EC"/>
    <w:rsid w:val="000F6593"/>
    <w:rsid w:val="000F7366"/>
    <w:rsid w:val="000F7F70"/>
    <w:rsid w:val="00101426"/>
    <w:rsid w:val="001023FC"/>
    <w:rsid w:val="00103B4C"/>
    <w:rsid w:val="0010449E"/>
    <w:rsid w:val="001059FA"/>
    <w:rsid w:val="00106310"/>
    <w:rsid w:val="00106583"/>
    <w:rsid w:val="0010666C"/>
    <w:rsid w:val="001068E3"/>
    <w:rsid w:val="00112F90"/>
    <w:rsid w:val="001143C6"/>
    <w:rsid w:val="00115332"/>
    <w:rsid w:val="00115A42"/>
    <w:rsid w:val="00117801"/>
    <w:rsid w:val="00117CE4"/>
    <w:rsid w:val="00121190"/>
    <w:rsid w:val="00121FC1"/>
    <w:rsid w:val="00125104"/>
    <w:rsid w:val="001336B3"/>
    <w:rsid w:val="00134175"/>
    <w:rsid w:val="0013470A"/>
    <w:rsid w:val="00135DAE"/>
    <w:rsid w:val="00136191"/>
    <w:rsid w:val="001370B4"/>
    <w:rsid w:val="00145E5C"/>
    <w:rsid w:val="00145F2D"/>
    <w:rsid w:val="00150694"/>
    <w:rsid w:val="0015098A"/>
    <w:rsid w:val="00151D13"/>
    <w:rsid w:val="00152DE2"/>
    <w:rsid w:val="0015388E"/>
    <w:rsid w:val="00156ABB"/>
    <w:rsid w:val="00156EC4"/>
    <w:rsid w:val="00161887"/>
    <w:rsid w:val="0016271C"/>
    <w:rsid w:val="00163C11"/>
    <w:rsid w:val="001666F2"/>
    <w:rsid w:val="0016738F"/>
    <w:rsid w:val="001673C6"/>
    <w:rsid w:val="00167760"/>
    <w:rsid w:val="00167F27"/>
    <w:rsid w:val="0017017F"/>
    <w:rsid w:val="00171263"/>
    <w:rsid w:val="001714E2"/>
    <w:rsid w:val="001731C0"/>
    <w:rsid w:val="0017414D"/>
    <w:rsid w:val="00174374"/>
    <w:rsid w:val="00174634"/>
    <w:rsid w:val="00174BC8"/>
    <w:rsid w:val="0017564F"/>
    <w:rsid w:val="001761C9"/>
    <w:rsid w:val="0017739A"/>
    <w:rsid w:val="001773ED"/>
    <w:rsid w:val="00181C98"/>
    <w:rsid w:val="00181DD0"/>
    <w:rsid w:val="00181DD8"/>
    <w:rsid w:val="00182915"/>
    <w:rsid w:val="00187992"/>
    <w:rsid w:val="0019262C"/>
    <w:rsid w:val="00192796"/>
    <w:rsid w:val="0019312F"/>
    <w:rsid w:val="00193913"/>
    <w:rsid w:val="0019548F"/>
    <w:rsid w:val="00197995"/>
    <w:rsid w:val="001A1205"/>
    <w:rsid w:val="001A3259"/>
    <w:rsid w:val="001A4C3A"/>
    <w:rsid w:val="001A5A2D"/>
    <w:rsid w:val="001B29E7"/>
    <w:rsid w:val="001B2C6A"/>
    <w:rsid w:val="001B6548"/>
    <w:rsid w:val="001B76B3"/>
    <w:rsid w:val="001C0089"/>
    <w:rsid w:val="001C0840"/>
    <w:rsid w:val="001C1153"/>
    <w:rsid w:val="001C1BCD"/>
    <w:rsid w:val="001C3EC0"/>
    <w:rsid w:val="001C6120"/>
    <w:rsid w:val="001C76C5"/>
    <w:rsid w:val="001D0A3F"/>
    <w:rsid w:val="001D2631"/>
    <w:rsid w:val="001D2FDB"/>
    <w:rsid w:val="001D5F23"/>
    <w:rsid w:val="001D7EB1"/>
    <w:rsid w:val="001D7ECC"/>
    <w:rsid w:val="001E0265"/>
    <w:rsid w:val="001E0372"/>
    <w:rsid w:val="001E0794"/>
    <w:rsid w:val="001E2A15"/>
    <w:rsid w:val="001E2DBF"/>
    <w:rsid w:val="001E32BE"/>
    <w:rsid w:val="001E48AD"/>
    <w:rsid w:val="001E7D1D"/>
    <w:rsid w:val="001F057D"/>
    <w:rsid w:val="001F070F"/>
    <w:rsid w:val="001F0B59"/>
    <w:rsid w:val="001F266B"/>
    <w:rsid w:val="001F3017"/>
    <w:rsid w:val="001F3E61"/>
    <w:rsid w:val="001F4330"/>
    <w:rsid w:val="002016B2"/>
    <w:rsid w:val="00201F7F"/>
    <w:rsid w:val="002029DD"/>
    <w:rsid w:val="00202C64"/>
    <w:rsid w:val="002034C7"/>
    <w:rsid w:val="00206273"/>
    <w:rsid w:val="0021100D"/>
    <w:rsid w:val="002114D6"/>
    <w:rsid w:val="00212D37"/>
    <w:rsid w:val="00213046"/>
    <w:rsid w:val="002158AB"/>
    <w:rsid w:val="00217450"/>
    <w:rsid w:val="00217587"/>
    <w:rsid w:val="002215DC"/>
    <w:rsid w:val="00221A7C"/>
    <w:rsid w:val="002223E1"/>
    <w:rsid w:val="002228C3"/>
    <w:rsid w:val="0022560A"/>
    <w:rsid w:val="00226876"/>
    <w:rsid w:val="0023002C"/>
    <w:rsid w:val="002309FC"/>
    <w:rsid w:val="0023188F"/>
    <w:rsid w:val="00232004"/>
    <w:rsid w:val="00235BBC"/>
    <w:rsid w:val="0023742E"/>
    <w:rsid w:val="002402CF"/>
    <w:rsid w:val="00241944"/>
    <w:rsid w:val="00244659"/>
    <w:rsid w:val="00245D0D"/>
    <w:rsid w:val="002472BE"/>
    <w:rsid w:val="00250308"/>
    <w:rsid w:val="00250A61"/>
    <w:rsid w:val="002517FF"/>
    <w:rsid w:val="00252E4D"/>
    <w:rsid w:val="0025338D"/>
    <w:rsid w:val="00254865"/>
    <w:rsid w:val="00255979"/>
    <w:rsid w:val="00255C20"/>
    <w:rsid w:val="00257552"/>
    <w:rsid w:val="002614F0"/>
    <w:rsid w:val="0026192A"/>
    <w:rsid w:val="0026193D"/>
    <w:rsid w:val="002640E2"/>
    <w:rsid w:val="00265027"/>
    <w:rsid w:val="00266915"/>
    <w:rsid w:val="002671E6"/>
    <w:rsid w:val="00274EA9"/>
    <w:rsid w:val="00275169"/>
    <w:rsid w:val="002770E6"/>
    <w:rsid w:val="00277721"/>
    <w:rsid w:val="00277B23"/>
    <w:rsid w:val="0028116B"/>
    <w:rsid w:val="002819A9"/>
    <w:rsid w:val="00281E5C"/>
    <w:rsid w:val="002855CA"/>
    <w:rsid w:val="00285C3B"/>
    <w:rsid w:val="00285D47"/>
    <w:rsid w:val="00287307"/>
    <w:rsid w:val="00291CC6"/>
    <w:rsid w:val="00293268"/>
    <w:rsid w:val="00297D77"/>
    <w:rsid w:val="002A2E41"/>
    <w:rsid w:val="002A341B"/>
    <w:rsid w:val="002A363B"/>
    <w:rsid w:val="002A421D"/>
    <w:rsid w:val="002A5578"/>
    <w:rsid w:val="002A694F"/>
    <w:rsid w:val="002B4380"/>
    <w:rsid w:val="002C3501"/>
    <w:rsid w:val="002D1322"/>
    <w:rsid w:val="002D1A18"/>
    <w:rsid w:val="002D25AF"/>
    <w:rsid w:val="002D5020"/>
    <w:rsid w:val="002D541F"/>
    <w:rsid w:val="002D72BE"/>
    <w:rsid w:val="002E12A2"/>
    <w:rsid w:val="002E1B83"/>
    <w:rsid w:val="002E1F2B"/>
    <w:rsid w:val="002E24D4"/>
    <w:rsid w:val="002E4BD1"/>
    <w:rsid w:val="002E5CD5"/>
    <w:rsid w:val="002E73CC"/>
    <w:rsid w:val="002E74A7"/>
    <w:rsid w:val="002F2477"/>
    <w:rsid w:val="002F3114"/>
    <w:rsid w:val="002F67F1"/>
    <w:rsid w:val="00304630"/>
    <w:rsid w:val="003049D1"/>
    <w:rsid w:val="00304DAE"/>
    <w:rsid w:val="00306E2D"/>
    <w:rsid w:val="0030713B"/>
    <w:rsid w:val="00307F08"/>
    <w:rsid w:val="00311090"/>
    <w:rsid w:val="00311F7B"/>
    <w:rsid w:val="00312C64"/>
    <w:rsid w:val="00312FAE"/>
    <w:rsid w:val="003147D7"/>
    <w:rsid w:val="00315B54"/>
    <w:rsid w:val="00317816"/>
    <w:rsid w:val="00320B77"/>
    <w:rsid w:val="003229BC"/>
    <w:rsid w:val="00323243"/>
    <w:rsid w:val="003248F7"/>
    <w:rsid w:val="0032648F"/>
    <w:rsid w:val="00327A0D"/>
    <w:rsid w:val="00327E0F"/>
    <w:rsid w:val="00330A79"/>
    <w:rsid w:val="003311A1"/>
    <w:rsid w:val="0033367B"/>
    <w:rsid w:val="00335E5D"/>
    <w:rsid w:val="00336F98"/>
    <w:rsid w:val="0034075C"/>
    <w:rsid w:val="00341C08"/>
    <w:rsid w:val="00341C12"/>
    <w:rsid w:val="00342269"/>
    <w:rsid w:val="003436BA"/>
    <w:rsid w:val="00344D3D"/>
    <w:rsid w:val="00345090"/>
    <w:rsid w:val="003452CB"/>
    <w:rsid w:val="00345755"/>
    <w:rsid w:val="00346A27"/>
    <w:rsid w:val="003473A7"/>
    <w:rsid w:val="00347C84"/>
    <w:rsid w:val="00350924"/>
    <w:rsid w:val="003515FC"/>
    <w:rsid w:val="0035302D"/>
    <w:rsid w:val="00356E28"/>
    <w:rsid w:val="003573CF"/>
    <w:rsid w:val="003610CC"/>
    <w:rsid w:val="00363E74"/>
    <w:rsid w:val="00363F6C"/>
    <w:rsid w:val="003668DA"/>
    <w:rsid w:val="003703DC"/>
    <w:rsid w:val="00371439"/>
    <w:rsid w:val="00372912"/>
    <w:rsid w:val="00373377"/>
    <w:rsid w:val="00373B9B"/>
    <w:rsid w:val="00375722"/>
    <w:rsid w:val="00375E0B"/>
    <w:rsid w:val="0037667B"/>
    <w:rsid w:val="00376A89"/>
    <w:rsid w:val="003808D4"/>
    <w:rsid w:val="0038205C"/>
    <w:rsid w:val="00382344"/>
    <w:rsid w:val="00382473"/>
    <w:rsid w:val="0038333B"/>
    <w:rsid w:val="00384871"/>
    <w:rsid w:val="003864C7"/>
    <w:rsid w:val="0039124C"/>
    <w:rsid w:val="00392E9B"/>
    <w:rsid w:val="00393B92"/>
    <w:rsid w:val="00394727"/>
    <w:rsid w:val="00396584"/>
    <w:rsid w:val="00396A1B"/>
    <w:rsid w:val="00397194"/>
    <w:rsid w:val="0039788D"/>
    <w:rsid w:val="003A01C2"/>
    <w:rsid w:val="003A16E5"/>
    <w:rsid w:val="003A3F5C"/>
    <w:rsid w:val="003A5A07"/>
    <w:rsid w:val="003A5B69"/>
    <w:rsid w:val="003B081F"/>
    <w:rsid w:val="003B2EA7"/>
    <w:rsid w:val="003B4386"/>
    <w:rsid w:val="003B5422"/>
    <w:rsid w:val="003B57AC"/>
    <w:rsid w:val="003B6743"/>
    <w:rsid w:val="003B7FB2"/>
    <w:rsid w:val="003C0448"/>
    <w:rsid w:val="003C0736"/>
    <w:rsid w:val="003C07DB"/>
    <w:rsid w:val="003C15F6"/>
    <w:rsid w:val="003C1B7B"/>
    <w:rsid w:val="003C1D85"/>
    <w:rsid w:val="003C262E"/>
    <w:rsid w:val="003C26E7"/>
    <w:rsid w:val="003C482C"/>
    <w:rsid w:val="003C4BAB"/>
    <w:rsid w:val="003C67F1"/>
    <w:rsid w:val="003C68D9"/>
    <w:rsid w:val="003D1374"/>
    <w:rsid w:val="003D1490"/>
    <w:rsid w:val="003D16A2"/>
    <w:rsid w:val="003D3947"/>
    <w:rsid w:val="003D4D19"/>
    <w:rsid w:val="003E00C8"/>
    <w:rsid w:val="003E0A08"/>
    <w:rsid w:val="003E1008"/>
    <w:rsid w:val="003E1A85"/>
    <w:rsid w:val="003E34AF"/>
    <w:rsid w:val="003E3E12"/>
    <w:rsid w:val="003E4664"/>
    <w:rsid w:val="003E4CA2"/>
    <w:rsid w:val="003E623B"/>
    <w:rsid w:val="003F2099"/>
    <w:rsid w:val="003F2751"/>
    <w:rsid w:val="003F423A"/>
    <w:rsid w:val="003F70FB"/>
    <w:rsid w:val="003F75EF"/>
    <w:rsid w:val="0040127A"/>
    <w:rsid w:val="004023B8"/>
    <w:rsid w:val="0040245F"/>
    <w:rsid w:val="00404A97"/>
    <w:rsid w:val="0041031E"/>
    <w:rsid w:val="0041120B"/>
    <w:rsid w:val="0041218D"/>
    <w:rsid w:val="004125D5"/>
    <w:rsid w:val="00412DA5"/>
    <w:rsid w:val="00412E8F"/>
    <w:rsid w:val="004165F7"/>
    <w:rsid w:val="00417B4D"/>
    <w:rsid w:val="004205F9"/>
    <w:rsid w:val="00421CB8"/>
    <w:rsid w:val="00422419"/>
    <w:rsid w:val="00427624"/>
    <w:rsid w:val="004302F5"/>
    <w:rsid w:val="004313B9"/>
    <w:rsid w:val="0043240F"/>
    <w:rsid w:val="00432726"/>
    <w:rsid w:val="004359C7"/>
    <w:rsid w:val="004376F8"/>
    <w:rsid w:val="004377B2"/>
    <w:rsid w:val="00440730"/>
    <w:rsid w:val="00440AA7"/>
    <w:rsid w:val="0044191A"/>
    <w:rsid w:val="00442344"/>
    <w:rsid w:val="00452167"/>
    <w:rsid w:val="0045686D"/>
    <w:rsid w:val="004577D1"/>
    <w:rsid w:val="00460D04"/>
    <w:rsid w:val="00460F7B"/>
    <w:rsid w:val="00461AFC"/>
    <w:rsid w:val="00461CF8"/>
    <w:rsid w:val="00462ED6"/>
    <w:rsid w:val="004632B4"/>
    <w:rsid w:val="004637F9"/>
    <w:rsid w:val="00463D7C"/>
    <w:rsid w:val="00463F9D"/>
    <w:rsid w:val="00465242"/>
    <w:rsid w:val="00475CA5"/>
    <w:rsid w:val="00475CD8"/>
    <w:rsid w:val="004764AF"/>
    <w:rsid w:val="00476C95"/>
    <w:rsid w:val="00481610"/>
    <w:rsid w:val="00482589"/>
    <w:rsid w:val="004825B3"/>
    <w:rsid w:val="00483165"/>
    <w:rsid w:val="0048518B"/>
    <w:rsid w:val="004863AA"/>
    <w:rsid w:val="00487918"/>
    <w:rsid w:val="00490402"/>
    <w:rsid w:val="004917A3"/>
    <w:rsid w:val="00491B55"/>
    <w:rsid w:val="004927EF"/>
    <w:rsid w:val="00493453"/>
    <w:rsid w:val="0049438A"/>
    <w:rsid w:val="00495460"/>
    <w:rsid w:val="00495E0A"/>
    <w:rsid w:val="004A1538"/>
    <w:rsid w:val="004A18A5"/>
    <w:rsid w:val="004A4E85"/>
    <w:rsid w:val="004A5C4C"/>
    <w:rsid w:val="004B3E9C"/>
    <w:rsid w:val="004B50BB"/>
    <w:rsid w:val="004B7490"/>
    <w:rsid w:val="004B788A"/>
    <w:rsid w:val="004B7C01"/>
    <w:rsid w:val="004C1DA4"/>
    <w:rsid w:val="004C637E"/>
    <w:rsid w:val="004C718E"/>
    <w:rsid w:val="004D0A0B"/>
    <w:rsid w:val="004D0F23"/>
    <w:rsid w:val="004D2707"/>
    <w:rsid w:val="004D3AA8"/>
    <w:rsid w:val="004D4910"/>
    <w:rsid w:val="004D5542"/>
    <w:rsid w:val="004D5A1B"/>
    <w:rsid w:val="004D7944"/>
    <w:rsid w:val="004E01BB"/>
    <w:rsid w:val="004E0236"/>
    <w:rsid w:val="004E2C5B"/>
    <w:rsid w:val="004E3E59"/>
    <w:rsid w:val="004E557B"/>
    <w:rsid w:val="004E6279"/>
    <w:rsid w:val="004E728B"/>
    <w:rsid w:val="004E78C3"/>
    <w:rsid w:val="004F06E7"/>
    <w:rsid w:val="004F1A99"/>
    <w:rsid w:val="004F2FEF"/>
    <w:rsid w:val="004F4CF9"/>
    <w:rsid w:val="004F6B69"/>
    <w:rsid w:val="004F76B2"/>
    <w:rsid w:val="00501829"/>
    <w:rsid w:val="005035F5"/>
    <w:rsid w:val="00505270"/>
    <w:rsid w:val="005065A4"/>
    <w:rsid w:val="0050764B"/>
    <w:rsid w:val="0051079C"/>
    <w:rsid w:val="005115BC"/>
    <w:rsid w:val="005116D0"/>
    <w:rsid w:val="00513D51"/>
    <w:rsid w:val="00514C51"/>
    <w:rsid w:val="00515F6B"/>
    <w:rsid w:val="005173C4"/>
    <w:rsid w:val="00521A42"/>
    <w:rsid w:val="005245FF"/>
    <w:rsid w:val="005251CB"/>
    <w:rsid w:val="005253F8"/>
    <w:rsid w:val="005257CC"/>
    <w:rsid w:val="005271D2"/>
    <w:rsid w:val="0052776C"/>
    <w:rsid w:val="005305A7"/>
    <w:rsid w:val="00530A97"/>
    <w:rsid w:val="00530ACD"/>
    <w:rsid w:val="005320F9"/>
    <w:rsid w:val="005322AC"/>
    <w:rsid w:val="005336E9"/>
    <w:rsid w:val="00533EF4"/>
    <w:rsid w:val="00535198"/>
    <w:rsid w:val="00536B61"/>
    <w:rsid w:val="00536B98"/>
    <w:rsid w:val="00536C16"/>
    <w:rsid w:val="00540329"/>
    <w:rsid w:val="00541DD1"/>
    <w:rsid w:val="00546900"/>
    <w:rsid w:val="00546B67"/>
    <w:rsid w:val="005475A8"/>
    <w:rsid w:val="00550283"/>
    <w:rsid w:val="00551060"/>
    <w:rsid w:val="005520B1"/>
    <w:rsid w:val="00552340"/>
    <w:rsid w:val="00552D13"/>
    <w:rsid w:val="005535F8"/>
    <w:rsid w:val="00555899"/>
    <w:rsid w:val="00557025"/>
    <w:rsid w:val="00561A46"/>
    <w:rsid w:val="00563594"/>
    <w:rsid w:val="00564B9A"/>
    <w:rsid w:val="00570187"/>
    <w:rsid w:val="005711E8"/>
    <w:rsid w:val="005712FE"/>
    <w:rsid w:val="0057362D"/>
    <w:rsid w:val="00574F44"/>
    <w:rsid w:val="005762AF"/>
    <w:rsid w:val="00576985"/>
    <w:rsid w:val="0057771B"/>
    <w:rsid w:val="005778C3"/>
    <w:rsid w:val="00582009"/>
    <w:rsid w:val="00586C8E"/>
    <w:rsid w:val="00592217"/>
    <w:rsid w:val="00592253"/>
    <w:rsid w:val="005941CB"/>
    <w:rsid w:val="005945AF"/>
    <w:rsid w:val="005962E2"/>
    <w:rsid w:val="0059799B"/>
    <w:rsid w:val="00597A93"/>
    <w:rsid w:val="00597CF6"/>
    <w:rsid w:val="005A009D"/>
    <w:rsid w:val="005A1402"/>
    <w:rsid w:val="005A1FFA"/>
    <w:rsid w:val="005A33DF"/>
    <w:rsid w:val="005A4120"/>
    <w:rsid w:val="005A4150"/>
    <w:rsid w:val="005A4FE6"/>
    <w:rsid w:val="005A61C3"/>
    <w:rsid w:val="005B20E4"/>
    <w:rsid w:val="005B3C9A"/>
    <w:rsid w:val="005B569F"/>
    <w:rsid w:val="005B7169"/>
    <w:rsid w:val="005B74DF"/>
    <w:rsid w:val="005C0DA0"/>
    <w:rsid w:val="005C47BE"/>
    <w:rsid w:val="005C590C"/>
    <w:rsid w:val="005C68B1"/>
    <w:rsid w:val="005C7199"/>
    <w:rsid w:val="005D04B5"/>
    <w:rsid w:val="005D07F3"/>
    <w:rsid w:val="005D0873"/>
    <w:rsid w:val="005D371B"/>
    <w:rsid w:val="005D44A3"/>
    <w:rsid w:val="005D4D14"/>
    <w:rsid w:val="005D51A3"/>
    <w:rsid w:val="005D5919"/>
    <w:rsid w:val="005D65F5"/>
    <w:rsid w:val="005E0889"/>
    <w:rsid w:val="005E4325"/>
    <w:rsid w:val="005E4693"/>
    <w:rsid w:val="005E6EAD"/>
    <w:rsid w:val="005F0137"/>
    <w:rsid w:val="005F4921"/>
    <w:rsid w:val="005F4FD9"/>
    <w:rsid w:val="005F5A33"/>
    <w:rsid w:val="005F5F90"/>
    <w:rsid w:val="005F6849"/>
    <w:rsid w:val="005F7E19"/>
    <w:rsid w:val="00601269"/>
    <w:rsid w:val="00602F39"/>
    <w:rsid w:val="00603EBD"/>
    <w:rsid w:val="0060585A"/>
    <w:rsid w:val="00605868"/>
    <w:rsid w:val="006070D4"/>
    <w:rsid w:val="00610F95"/>
    <w:rsid w:val="00611376"/>
    <w:rsid w:val="006113B8"/>
    <w:rsid w:val="006119C7"/>
    <w:rsid w:val="00612FC7"/>
    <w:rsid w:val="006216BA"/>
    <w:rsid w:val="006235EE"/>
    <w:rsid w:val="00631078"/>
    <w:rsid w:val="006313AD"/>
    <w:rsid w:val="00632A79"/>
    <w:rsid w:val="00634077"/>
    <w:rsid w:val="00636602"/>
    <w:rsid w:val="00637B81"/>
    <w:rsid w:val="006406B1"/>
    <w:rsid w:val="00640724"/>
    <w:rsid w:val="00641700"/>
    <w:rsid w:val="006418B2"/>
    <w:rsid w:val="00642654"/>
    <w:rsid w:val="00643BAE"/>
    <w:rsid w:val="00647D25"/>
    <w:rsid w:val="00650A90"/>
    <w:rsid w:val="00651738"/>
    <w:rsid w:val="006553F3"/>
    <w:rsid w:val="006571E8"/>
    <w:rsid w:val="0065761E"/>
    <w:rsid w:val="006600B1"/>
    <w:rsid w:val="00662491"/>
    <w:rsid w:val="00663D85"/>
    <w:rsid w:val="00671B09"/>
    <w:rsid w:val="006720FB"/>
    <w:rsid w:val="006743C2"/>
    <w:rsid w:val="00674C51"/>
    <w:rsid w:val="00677794"/>
    <w:rsid w:val="00684F2E"/>
    <w:rsid w:val="006859DD"/>
    <w:rsid w:val="0068733C"/>
    <w:rsid w:val="00690B57"/>
    <w:rsid w:val="00691DAB"/>
    <w:rsid w:val="0069213B"/>
    <w:rsid w:val="00693E22"/>
    <w:rsid w:val="00694A39"/>
    <w:rsid w:val="0069595E"/>
    <w:rsid w:val="006970D5"/>
    <w:rsid w:val="006A476A"/>
    <w:rsid w:val="006A4AD3"/>
    <w:rsid w:val="006A5001"/>
    <w:rsid w:val="006A63C6"/>
    <w:rsid w:val="006A677B"/>
    <w:rsid w:val="006B02F9"/>
    <w:rsid w:val="006B34A5"/>
    <w:rsid w:val="006B5D02"/>
    <w:rsid w:val="006B629C"/>
    <w:rsid w:val="006C1093"/>
    <w:rsid w:val="006C167A"/>
    <w:rsid w:val="006C3BAF"/>
    <w:rsid w:val="006C4A3A"/>
    <w:rsid w:val="006C5866"/>
    <w:rsid w:val="006C707B"/>
    <w:rsid w:val="006C71B1"/>
    <w:rsid w:val="006D132F"/>
    <w:rsid w:val="006D21EE"/>
    <w:rsid w:val="006D374B"/>
    <w:rsid w:val="006D385D"/>
    <w:rsid w:val="006E246B"/>
    <w:rsid w:val="006E2F37"/>
    <w:rsid w:val="006E31C5"/>
    <w:rsid w:val="006E36CD"/>
    <w:rsid w:val="006E544E"/>
    <w:rsid w:val="006E55B2"/>
    <w:rsid w:val="006E7544"/>
    <w:rsid w:val="006E77F5"/>
    <w:rsid w:val="006F0017"/>
    <w:rsid w:val="006F1AD5"/>
    <w:rsid w:val="006F3685"/>
    <w:rsid w:val="006F39BB"/>
    <w:rsid w:val="006F4586"/>
    <w:rsid w:val="006F4F6D"/>
    <w:rsid w:val="006F6B43"/>
    <w:rsid w:val="006F6ED0"/>
    <w:rsid w:val="0070000D"/>
    <w:rsid w:val="00700026"/>
    <w:rsid w:val="00700626"/>
    <w:rsid w:val="0070227E"/>
    <w:rsid w:val="00702D45"/>
    <w:rsid w:val="00703E4A"/>
    <w:rsid w:val="00704C76"/>
    <w:rsid w:val="00706907"/>
    <w:rsid w:val="00707D60"/>
    <w:rsid w:val="00710063"/>
    <w:rsid w:val="007104F6"/>
    <w:rsid w:val="00712291"/>
    <w:rsid w:val="007126B4"/>
    <w:rsid w:val="00715701"/>
    <w:rsid w:val="00715E3E"/>
    <w:rsid w:val="007162EE"/>
    <w:rsid w:val="007172CB"/>
    <w:rsid w:val="007173F9"/>
    <w:rsid w:val="00717A20"/>
    <w:rsid w:val="00720B3F"/>
    <w:rsid w:val="00722036"/>
    <w:rsid w:val="00732A10"/>
    <w:rsid w:val="00732C57"/>
    <w:rsid w:val="007338ED"/>
    <w:rsid w:val="00736D18"/>
    <w:rsid w:val="00741F6D"/>
    <w:rsid w:val="0074313F"/>
    <w:rsid w:val="00745D02"/>
    <w:rsid w:val="00747852"/>
    <w:rsid w:val="00750DFC"/>
    <w:rsid w:val="0075212B"/>
    <w:rsid w:val="00754E40"/>
    <w:rsid w:val="00754F00"/>
    <w:rsid w:val="0076013C"/>
    <w:rsid w:val="007623B1"/>
    <w:rsid w:val="00763502"/>
    <w:rsid w:val="0076412C"/>
    <w:rsid w:val="00765B32"/>
    <w:rsid w:val="007661C2"/>
    <w:rsid w:val="00766F64"/>
    <w:rsid w:val="0077355C"/>
    <w:rsid w:val="007736CE"/>
    <w:rsid w:val="007740F5"/>
    <w:rsid w:val="00775821"/>
    <w:rsid w:val="007776BB"/>
    <w:rsid w:val="0078055D"/>
    <w:rsid w:val="00780A2F"/>
    <w:rsid w:val="00780C35"/>
    <w:rsid w:val="007819A6"/>
    <w:rsid w:val="00781C0E"/>
    <w:rsid w:val="00781DBA"/>
    <w:rsid w:val="00783BD4"/>
    <w:rsid w:val="007840C7"/>
    <w:rsid w:val="00785E09"/>
    <w:rsid w:val="00791159"/>
    <w:rsid w:val="00796414"/>
    <w:rsid w:val="00796814"/>
    <w:rsid w:val="00797B83"/>
    <w:rsid w:val="007A0353"/>
    <w:rsid w:val="007A0420"/>
    <w:rsid w:val="007A15FD"/>
    <w:rsid w:val="007A1EA9"/>
    <w:rsid w:val="007A350B"/>
    <w:rsid w:val="007A5586"/>
    <w:rsid w:val="007A6132"/>
    <w:rsid w:val="007A6570"/>
    <w:rsid w:val="007A7C83"/>
    <w:rsid w:val="007A7F65"/>
    <w:rsid w:val="007B00C2"/>
    <w:rsid w:val="007B1857"/>
    <w:rsid w:val="007B1FB4"/>
    <w:rsid w:val="007B2397"/>
    <w:rsid w:val="007B4F18"/>
    <w:rsid w:val="007B5DC8"/>
    <w:rsid w:val="007B7104"/>
    <w:rsid w:val="007C0567"/>
    <w:rsid w:val="007C1B57"/>
    <w:rsid w:val="007C3670"/>
    <w:rsid w:val="007C3D05"/>
    <w:rsid w:val="007C64A3"/>
    <w:rsid w:val="007C6C17"/>
    <w:rsid w:val="007C7967"/>
    <w:rsid w:val="007D09E9"/>
    <w:rsid w:val="007D1E37"/>
    <w:rsid w:val="007D2560"/>
    <w:rsid w:val="007D7214"/>
    <w:rsid w:val="007D7FE7"/>
    <w:rsid w:val="007E3B9A"/>
    <w:rsid w:val="007E64FE"/>
    <w:rsid w:val="007F006D"/>
    <w:rsid w:val="007F03C0"/>
    <w:rsid w:val="007F1422"/>
    <w:rsid w:val="007F1DDF"/>
    <w:rsid w:val="007F325B"/>
    <w:rsid w:val="007F4727"/>
    <w:rsid w:val="007F53B2"/>
    <w:rsid w:val="008030FB"/>
    <w:rsid w:val="008060CE"/>
    <w:rsid w:val="008067B3"/>
    <w:rsid w:val="00810193"/>
    <w:rsid w:val="00810B6C"/>
    <w:rsid w:val="00811ED5"/>
    <w:rsid w:val="00812162"/>
    <w:rsid w:val="00812C55"/>
    <w:rsid w:val="008132D9"/>
    <w:rsid w:val="00814866"/>
    <w:rsid w:val="00814935"/>
    <w:rsid w:val="00815979"/>
    <w:rsid w:val="0081665D"/>
    <w:rsid w:val="00817A52"/>
    <w:rsid w:val="00817B2C"/>
    <w:rsid w:val="00821FD9"/>
    <w:rsid w:val="00823384"/>
    <w:rsid w:val="00823A1D"/>
    <w:rsid w:val="0082488E"/>
    <w:rsid w:val="00826A77"/>
    <w:rsid w:val="00826E83"/>
    <w:rsid w:val="0083043D"/>
    <w:rsid w:val="00835F3C"/>
    <w:rsid w:val="0083783A"/>
    <w:rsid w:val="00841715"/>
    <w:rsid w:val="00842E12"/>
    <w:rsid w:val="00851C2E"/>
    <w:rsid w:val="0085307D"/>
    <w:rsid w:val="00854904"/>
    <w:rsid w:val="00854E7D"/>
    <w:rsid w:val="00856CD4"/>
    <w:rsid w:val="00862155"/>
    <w:rsid w:val="00864351"/>
    <w:rsid w:val="00864D22"/>
    <w:rsid w:val="008653B8"/>
    <w:rsid w:val="00865C0F"/>
    <w:rsid w:val="0087086F"/>
    <w:rsid w:val="0087381E"/>
    <w:rsid w:val="00876349"/>
    <w:rsid w:val="00876743"/>
    <w:rsid w:val="008776F7"/>
    <w:rsid w:val="00880DCA"/>
    <w:rsid w:val="00880F37"/>
    <w:rsid w:val="00882617"/>
    <w:rsid w:val="0088313E"/>
    <w:rsid w:val="008831D1"/>
    <w:rsid w:val="00890AE1"/>
    <w:rsid w:val="008915FD"/>
    <w:rsid w:val="00891FF7"/>
    <w:rsid w:val="008A35BE"/>
    <w:rsid w:val="008A4228"/>
    <w:rsid w:val="008A514F"/>
    <w:rsid w:val="008A707E"/>
    <w:rsid w:val="008A78C8"/>
    <w:rsid w:val="008B43A4"/>
    <w:rsid w:val="008B5E30"/>
    <w:rsid w:val="008B668A"/>
    <w:rsid w:val="008B6AF4"/>
    <w:rsid w:val="008C25CC"/>
    <w:rsid w:val="008C6BB8"/>
    <w:rsid w:val="008C6D55"/>
    <w:rsid w:val="008C780C"/>
    <w:rsid w:val="008C7E7B"/>
    <w:rsid w:val="008D0DBB"/>
    <w:rsid w:val="008D0F88"/>
    <w:rsid w:val="008D0FEC"/>
    <w:rsid w:val="008D1696"/>
    <w:rsid w:val="008D4E57"/>
    <w:rsid w:val="008D51C9"/>
    <w:rsid w:val="008D64D7"/>
    <w:rsid w:val="008E06BC"/>
    <w:rsid w:val="008E0C6F"/>
    <w:rsid w:val="008E3981"/>
    <w:rsid w:val="008E490D"/>
    <w:rsid w:val="008E6616"/>
    <w:rsid w:val="008E7149"/>
    <w:rsid w:val="008F024C"/>
    <w:rsid w:val="008F2215"/>
    <w:rsid w:val="008F29C1"/>
    <w:rsid w:val="008F6D95"/>
    <w:rsid w:val="00900830"/>
    <w:rsid w:val="009017BE"/>
    <w:rsid w:val="00907E15"/>
    <w:rsid w:val="0091084A"/>
    <w:rsid w:val="00910921"/>
    <w:rsid w:val="00911ECB"/>
    <w:rsid w:val="00912093"/>
    <w:rsid w:val="00913AEC"/>
    <w:rsid w:val="00914D0F"/>
    <w:rsid w:val="009155BD"/>
    <w:rsid w:val="00921775"/>
    <w:rsid w:val="009223A9"/>
    <w:rsid w:val="00922440"/>
    <w:rsid w:val="00922451"/>
    <w:rsid w:val="009235BF"/>
    <w:rsid w:val="00926DC2"/>
    <w:rsid w:val="009274EA"/>
    <w:rsid w:val="009303D3"/>
    <w:rsid w:val="009323A6"/>
    <w:rsid w:val="0093399C"/>
    <w:rsid w:val="0093597D"/>
    <w:rsid w:val="00936011"/>
    <w:rsid w:val="009370A6"/>
    <w:rsid w:val="00940D4F"/>
    <w:rsid w:val="00940DC9"/>
    <w:rsid w:val="00942D62"/>
    <w:rsid w:val="00943D88"/>
    <w:rsid w:val="00944782"/>
    <w:rsid w:val="009458A8"/>
    <w:rsid w:val="00946397"/>
    <w:rsid w:val="00946860"/>
    <w:rsid w:val="00946F41"/>
    <w:rsid w:val="00947839"/>
    <w:rsid w:val="0094793D"/>
    <w:rsid w:val="0095113C"/>
    <w:rsid w:val="00951717"/>
    <w:rsid w:val="00951788"/>
    <w:rsid w:val="00952265"/>
    <w:rsid w:val="00953F2C"/>
    <w:rsid w:val="009542C3"/>
    <w:rsid w:val="00954861"/>
    <w:rsid w:val="009549D7"/>
    <w:rsid w:val="00955096"/>
    <w:rsid w:val="009550EB"/>
    <w:rsid w:val="00955DF0"/>
    <w:rsid w:val="0095737A"/>
    <w:rsid w:val="009615DA"/>
    <w:rsid w:val="00962C73"/>
    <w:rsid w:val="00965569"/>
    <w:rsid w:val="00966AE3"/>
    <w:rsid w:val="00966B82"/>
    <w:rsid w:val="00967BDB"/>
    <w:rsid w:val="00971B12"/>
    <w:rsid w:val="00972A1B"/>
    <w:rsid w:val="00973944"/>
    <w:rsid w:val="00974950"/>
    <w:rsid w:val="00974F3E"/>
    <w:rsid w:val="00975EB4"/>
    <w:rsid w:val="00977B2D"/>
    <w:rsid w:val="009810C3"/>
    <w:rsid w:val="00982298"/>
    <w:rsid w:val="009822BD"/>
    <w:rsid w:val="0098491D"/>
    <w:rsid w:val="00984E06"/>
    <w:rsid w:val="009852A7"/>
    <w:rsid w:val="009856CC"/>
    <w:rsid w:val="009860AE"/>
    <w:rsid w:val="00986C89"/>
    <w:rsid w:val="00987160"/>
    <w:rsid w:val="009875F6"/>
    <w:rsid w:val="00993C42"/>
    <w:rsid w:val="0099620E"/>
    <w:rsid w:val="009A1D67"/>
    <w:rsid w:val="009A5C4D"/>
    <w:rsid w:val="009B0AED"/>
    <w:rsid w:val="009B27E0"/>
    <w:rsid w:val="009B40A2"/>
    <w:rsid w:val="009B469C"/>
    <w:rsid w:val="009B4A44"/>
    <w:rsid w:val="009B73EE"/>
    <w:rsid w:val="009B79AF"/>
    <w:rsid w:val="009C17D4"/>
    <w:rsid w:val="009C27DE"/>
    <w:rsid w:val="009C43CE"/>
    <w:rsid w:val="009C50D0"/>
    <w:rsid w:val="009C67BE"/>
    <w:rsid w:val="009C6C38"/>
    <w:rsid w:val="009D0250"/>
    <w:rsid w:val="009D17DE"/>
    <w:rsid w:val="009D1A17"/>
    <w:rsid w:val="009D5DB6"/>
    <w:rsid w:val="009D71BC"/>
    <w:rsid w:val="009E010B"/>
    <w:rsid w:val="009E1E85"/>
    <w:rsid w:val="009E3288"/>
    <w:rsid w:val="009E386C"/>
    <w:rsid w:val="009E5880"/>
    <w:rsid w:val="009E610B"/>
    <w:rsid w:val="009E6D79"/>
    <w:rsid w:val="009E71C8"/>
    <w:rsid w:val="009E74C2"/>
    <w:rsid w:val="009F0018"/>
    <w:rsid w:val="009F2073"/>
    <w:rsid w:val="009F33A1"/>
    <w:rsid w:val="009F67E8"/>
    <w:rsid w:val="00A020F3"/>
    <w:rsid w:val="00A03230"/>
    <w:rsid w:val="00A05071"/>
    <w:rsid w:val="00A06112"/>
    <w:rsid w:val="00A07C0C"/>
    <w:rsid w:val="00A07F99"/>
    <w:rsid w:val="00A12108"/>
    <w:rsid w:val="00A13291"/>
    <w:rsid w:val="00A1427B"/>
    <w:rsid w:val="00A14D2A"/>
    <w:rsid w:val="00A17C3A"/>
    <w:rsid w:val="00A17C8D"/>
    <w:rsid w:val="00A17F3B"/>
    <w:rsid w:val="00A21EED"/>
    <w:rsid w:val="00A25ED0"/>
    <w:rsid w:val="00A27AFB"/>
    <w:rsid w:val="00A30A58"/>
    <w:rsid w:val="00A31947"/>
    <w:rsid w:val="00A31E0D"/>
    <w:rsid w:val="00A3201E"/>
    <w:rsid w:val="00A32B69"/>
    <w:rsid w:val="00A32E03"/>
    <w:rsid w:val="00A32E30"/>
    <w:rsid w:val="00A339FD"/>
    <w:rsid w:val="00A340AB"/>
    <w:rsid w:val="00A377D6"/>
    <w:rsid w:val="00A40B35"/>
    <w:rsid w:val="00A43518"/>
    <w:rsid w:val="00A47689"/>
    <w:rsid w:val="00A476A8"/>
    <w:rsid w:val="00A50175"/>
    <w:rsid w:val="00A50954"/>
    <w:rsid w:val="00A50DF9"/>
    <w:rsid w:val="00A515E9"/>
    <w:rsid w:val="00A52B6E"/>
    <w:rsid w:val="00A53A0E"/>
    <w:rsid w:val="00A56463"/>
    <w:rsid w:val="00A570A4"/>
    <w:rsid w:val="00A576E8"/>
    <w:rsid w:val="00A63AE5"/>
    <w:rsid w:val="00A63BA7"/>
    <w:rsid w:val="00A64E27"/>
    <w:rsid w:val="00A66B00"/>
    <w:rsid w:val="00A73D2E"/>
    <w:rsid w:val="00A74236"/>
    <w:rsid w:val="00A76EFD"/>
    <w:rsid w:val="00A82D5D"/>
    <w:rsid w:val="00A8754A"/>
    <w:rsid w:val="00A87984"/>
    <w:rsid w:val="00A903EB"/>
    <w:rsid w:val="00A950DB"/>
    <w:rsid w:val="00A96E29"/>
    <w:rsid w:val="00AA1B9C"/>
    <w:rsid w:val="00AA4569"/>
    <w:rsid w:val="00AA4DB2"/>
    <w:rsid w:val="00AA7310"/>
    <w:rsid w:val="00AB19ED"/>
    <w:rsid w:val="00AB1E4C"/>
    <w:rsid w:val="00AB1EB6"/>
    <w:rsid w:val="00AB2175"/>
    <w:rsid w:val="00AB2D9B"/>
    <w:rsid w:val="00AB4D58"/>
    <w:rsid w:val="00AB62BE"/>
    <w:rsid w:val="00AB712A"/>
    <w:rsid w:val="00AC26F1"/>
    <w:rsid w:val="00AC41D8"/>
    <w:rsid w:val="00AD043E"/>
    <w:rsid w:val="00AD0FC0"/>
    <w:rsid w:val="00AD276C"/>
    <w:rsid w:val="00AD37ED"/>
    <w:rsid w:val="00AD77FA"/>
    <w:rsid w:val="00AE098D"/>
    <w:rsid w:val="00AE0D7E"/>
    <w:rsid w:val="00AE1F24"/>
    <w:rsid w:val="00AE1F58"/>
    <w:rsid w:val="00AE2C66"/>
    <w:rsid w:val="00AE74B9"/>
    <w:rsid w:val="00AF1CAB"/>
    <w:rsid w:val="00AF1D99"/>
    <w:rsid w:val="00AF3060"/>
    <w:rsid w:val="00B03303"/>
    <w:rsid w:val="00B0460F"/>
    <w:rsid w:val="00B06520"/>
    <w:rsid w:val="00B10245"/>
    <w:rsid w:val="00B10384"/>
    <w:rsid w:val="00B112B6"/>
    <w:rsid w:val="00B11865"/>
    <w:rsid w:val="00B12953"/>
    <w:rsid w:val="00B14279"/>
    <w:rsid w:val="00B16EFF"/>
    <w:rsid w:val="00B22317"/>
    <w:rsid w:val="00B23C1E"/>
    <w:rsid w:val="00B23F64"/>
    <w:rsid w:val="00B25F59"/>
    <w:rsid w:val="00B266BF"/>
    <w:rsid w:val="00B26CE7"/>
    <w:rsid w:val="00B26DBD"/>
    <w:rsid w:val="00B3132A"/>
    <w:rsid w:val="00B31DE7"/>
    <w:rsid w:val="00B330CD"/>
    <w:rsid w:val="00B3360D"/>
    <w:rsid w:val="00B33705"/>
    <w:rsid w:val="00B34144"/>
    <w:rsid w:val="00B415F9"/>
    <w:rsid w:val="00B42511"/>
    <w:rsid w:val="00B44A9F"/>
    <w:rsid w:val="00B44B53"/>
    <w:rsid w:val="00B45349"/>
    <w:rsid w:val="00B51B3A"/>
    <w:rsid w:val="00B5390E"/>
    <w:rsid w:val="00B5397F"/>
    <w:rsid w:val="00B5709F"/>
    <w:rsid w:val="00B61606"/>
    <w:rsid w:val="00B61DCC"/>
    <w:rsid w:val="00B63185"/>
    <w:rsid w:val="00B631F4"/>
    <w:rsid w:val="00B63BF8"/>
    <w:rsid w:val="00B64F4B"/>
    <w:rsid w:val="00B65444"/>
    <w:rsid w:val="00B71FDE"/>
    <w:rsid w:val="00B73602"/>
    <w:rsid w:val="00B754A1"/>
    <w:rsid w:val="00B758AE"/>
    <w:rsid w:val="00B769E7"/>
    <w:rsid w:val="00B77EE4"/>
    <w:rsid w:val="00B81BFE"/>
    <w:rsid w:val="00B8339B"/>
    <w:rsid w:val="00B84AE4"/>
    <w:rsid w:val="00B856DA"/>
    <w:rsid w:val="00B864F1"/>
    <w:rsid w:val="00B86775"/>
    <w:rsid w:val="00B86EA2"/>
    <w:rsid w:val="00B90CB6"/>
    <w:rsid w:val="00B91147"/>
    <w:rsid w:val="00B91EAC"/>
    <w:rsid w:val="00B934A6"/>
    <w:rsid w:val="00B936FB"/>
    <w:rsid w:val="00B9415E"/>
    <w:rsid w:val="00B9423B"/>
    <w:rsid w:val="00B94B89"/>
    <w:rsid w:val="00B950BB"/>
    <w:rsid w:val="00B950CA"/>
    <w:rsid w:val="00B95936"/>
    <w:rsid w:val="00B97A76"/>
    <w:rsid w:val="00BA0F54"/>
    <w:rsid w:val="00BA11C5"/>
    <w:rsid w:val="00BA2ADF"/>
    <w:rsid w:val="00BA45AB"/>
    <w:rsid w:val="00BA6325"/>
    <w:rsid w:val="00BA6658"/>
    <w:rsid w:val="00BB19E4"/>
    <w:rsid w:val="00BB317A"/>
    <w:rsid w:val="00BB3315"/>
    <w:rsid w:val="00BB398E"/>
    <w:rsid w:val="00BB3DFB"/>
    <w:rsid w:val="00BB3EEB"/>
    <w:rsid w:val="00BB4777"/>
    <w:rsid w:val="00BB72C3"/>
    <w:rsid w:val="00BB7B57"/>
    <w:rsid w:val="00BC14A4"/>
    <w:rsid w:val="00BC4D5A"/>
    <w:rsid w:val="00BC5391"/>
    <w:rsid w:val="00BC65EC"/>
    <w:rsid w:val="00BC6DCA"/>
    <w:rsid w:val="00BD27E9"/>
    <w:rsid w:val="00BD5893"/>
    <w:rsid w:val="00BD5EA4"/>
    <w:rsid w:val="00BD6C33"/>
    <w:rsid w:val="00BD75E8"/>
    <w:rsid w:val="00BE0125"/>
    <w:rsid w:val="00BE0F3B"/>
    <w:rsid w:val="00BE1489"/>
    <w:rsid w:val="00BE2D60"/>
    <w:rsid w:val="00BE3820"/>
    <w:rsid w:val="00BE3B33"/>
    <w:rsid w:val="00BE47B3"/>
    <w:rsid w:val="00BF04ED"/>
    <w:rsid w:val="00BF2AF8"/>
    <w:rsid w:val="00BF2D9B"/>
    <w:rsid w:val="00BF3355"/>
    <w:rsid w:val="00BF3DBF"/>
    <w:rsid w:val="00BF3F04"/>
    <w:rsid w:val="00BF6C9C"/>
    <w:rsid w:val="00BF6FC2"/>
    <w:rsid w:val="00BF713F"/>
    <w:rsid w:val="00C033ED"/>
    <w:rsid w:val="00C0474C"/>
    <w:rsid w:val="00C0571B"/>
    <w:rsid w:val="00C05ED8"/>
    <w:rsid w:val="00C076A9"/>
    <w:rsid w:val="00C10331"/>
    <w:rsid w:val="00C117DD"/>
    <w:rsid w:val="00C11B62"/>
    <w:rsid w:val="00C11FC6"/>
    <w:rsid w:val="00C14C5E"/>
    <w:rsid w:val="00C15008"/>
    <w:rsid w:val="00C23A46"/>
    <w:rsid w:val="00C311F9"/>
    <w:rsid w:val="00C33E49"/>
    <w:rsid w:val="00C34A5A"/>
    <w:rsid w:val="00C35246"/>
    <w:rsid w:val="00C3799A"/>
    <w:rsid w:val="00C40FA7"/>
    <w:rsid w:val="00C41736"/>
    <w:rsid w:val="00C41E2B"/>
    <w:rsid w:val="00C41EAE"/>
    <w:rsid w:val="00C46748"/>
    <w:rsid w:val="00C47680"/>
    <w:rsid w:val="00C50958"/>
    <w:rsid w:val="00C51E0C"/>
    <w:rsid w:val="00C536C5"/>
    <w:rsid w:val="00C546F9"/>
    <w:rsid w:val="00C5598F"/>
    <w:rsid w:val="00C560D3"/>
    <w:rsid w:val="00C5682B"/>
    <w:rsid w:val="00C5784C"/>
    <w:rsid w:val="00C60D0A"/>
    <w:rsid w:val="00C61A7D"/>
    <w:rsid w:val="00C623DC"/>
    <w:rsid w:val="00C62566"/>
    <w:rsid w:val="00C636C5"/>
    <w:rsid w:val="00C72810"/>
    <w:rsid w:val="00C7387C"/>
    <w:rsid w:val="00C73DED"/>
    <w:rsid w:val="00C75E06"/>
    <w:rsid w:val="00C76562"/>
    <w:rsid w:val="00C77791"/>
    <w:rsid w:val="00C809CB"/>
    <w:rsid w:val="00C822F5"/>
    <w:rsid w:val="00C85E6E"/>
    <w:rsid w:val="00C86ECC"/>
    <w:rsid w:val="00C872F6"/>
    <w:rsid w:val="00C87376"/>
    <w:rsid w:val="00C900F5"/>
    <w:rsid w:val="00C92660"/>
    <w:rsid w:val="00C93574"/>
    <w:rsid w:val="00C94360"/>
    <w:rsid w:val="00C9437F"/>
    <w:rsid w:val="00C95DEA"/>
    <w:rsid w:val="00C9691C"/>
    <w:rsid w:val="00C9745C"/>
    <w:rsid w:val="00C97917"/>
    <w:rsid w:val="00CA1231"/>
    <w:rsid w:val="00CA19E3"/>
    <w:rsid w:val="00CA1BF3"/>
    <w:rsid w:val="00CA23CA"/>
    <w:rsid w:val="00CA3187"/>
    <w:rsid w:val="00CA3D4D"/>
    <w:rsid w:val="00CA4D7B"/>
    <w:rsid w:val="00CA575A"/>
    <w:rsid w:val="00CA5EA7"/>
    <w:rsid w:val="00CA7325"/>
    <w:rsid w:val="00CA75C9"/>
    <w:rsid w:val="00CA7B10"/>
    <w:rsid w:val="00CB09F0"/>
    <w:rsid w:val="00CB0A14"/>
    <w:rsid w:val="00CB2CDD"/>
    <w:rsid w:val="00CB3A13"/>
    <w:rsid w:val="00CB6D35"/>
    <w:rsid w:val="00CC0429"/>
    <w:rsid w:val="00CC05B9"/>
    <w:rsid w:val="00CC23D4"/>
    <w:rsid w:val="00CC25E2"/>
    <w:rsid w:val="00CC2D0C"/>
    <w:rsid w:val="00CC37F5"/>
    <w:rsid w:val="00CC5472"/>
    <w:rsid w:val="00CC58DF"/>
    <w:rsid w:val="00CD0ABE"/>
    <w:rsid w:val="00CD12ED"/>
    <w:rsid w:val="00CD2136"/>
    <w:rsid w:val="00CD4065"/>
    <w:rsid w:val="00CD66FE"/>
    <w:rsid w:val="00CD79B8"/>
    <w:rsid w:val="00CE0980"/>
    <w:rsid w:val="00CE32A8"/>
    <w:rsid w:val="00CE408B"/>
    <w:rsid w:val="00CE6703"/>
    <w:rsid w:val="00CE67D5"/>
    <w:rsid w:val="00CE7B29"/>
    <w:rsid w:val="00CF00B4"/>
    <w:rsid w:val="00CF098B"/>
    <w:rsid w:val="00CF33FA"/>
    <w:rsid w:val="00CF5B6E"/>
    <w:rsid w:val="00D01383"/>
    <w:rsid w:val="00D02AB3"/>
    <w:rsid w:val="00D032DB"/>
    <w:rsid w:val="00D033C7"/>
    <w:rsid w:val="00D042F9"/>
    <w:rsid w:val="00D04F85"/>
    <w:rsid w:val="00D05166"/>
    <w:rsid w:val="00D0546B"/>
    <w:rsid w:val="00D05FAC"/>
    <w:rsid w:val="00D10E39"/>
    <w:rsid w:val="00D11FAC"/>
    <w:rsid w:val="00D12314"/>
    <w:rsid w:val="00D1482A"/>
    <w:rsid w:val="00D155E9"/>
    <w:rsid w:val="00D1560B"/>
    <w:rsid w:val="00D20C77"/>
    <w:rsid w:val="00D20F97"/>
    <w:rsid w:val="00D219C3"/>
    <w:rsid w:val="00D24B2F"/>
    <w:rsid w:val="00D306F5"/>
    <w:rsid w:val="00D30A6C"/>
    <w:rsid w:val="00D30EC4"/>
    <w:rsid w:val="00D3148B"/>
    <w:rsid w:val="00D32157"/>
    <w:rsid w:val="00D32B23"/>
    <w:rsid w:val="00D33D2C"/>
    <w:rsid w:val="00D33DEB"/>
    <w:rsid w:val="00D3785F"/>
    <w:rsid w:val="00D378EC"/>
    <w:rsid w:val="00D379CB"/>
    <w:rsid w:val="00D37BA2"/>
    <w:rsid w:val="00D41648"/>
    <w:rsid w:val="00D42E6B"/>
    <w:rsid w:val="00D4404F"/>
    <w:rsid w:val="00D44C60"/>
    <w:rsid w:val="00D4566D"/>
    <w:rsid w:val="00D45C15"/>
    <w:rsid w:val="00D46F7C"/>
    <w:rsid w:val="00D5027A"/>
    <w:rsid w:val="00D50ABA"/>
    <w:rsid w:val="00D52ABD"/>
    <w:rsid w:val="00D531F9"/>
    <w:rsid w:val="00D54FF0"/>
    <w:rsid w:val="00D554BB"/>
    <w:rsid w:val="00D56111"/>
    <w:rsid w:val="00D608CE"/>
    <w:rsid w:val="00D63827"/>
    <w:rsid w:val="00D63C32"/>
    <w:rsid w:val="00D643CE"/>
    <w:rsid w:val="00D6618A"/>
    <w:rsid w:val="00D675C0"/>
    <w:rsid w:val="00D71869"/>
    <w:rsid w:val="00D72C65"/>
    <w:rsid w:val="00D730E4"/>
    <w:rsid w:val="00D7516D"/>
    <w:rsid w:val="00D755E6"/>
    <w:rsid w:val="00D803B0"/>
    <w:rsid w:val="00D820C2"/>
    <w:rsid w:val="00D82CD8"/>
    <w:rsid w:val="00D82F31"/>
    <w:rsid w:val="00D83A43"/>
    <w:rsid w:val="00D86265"/>
    <w:rsid w:val="00D87160"/>
    <w:rsid w:val="00D92F89"/>
    <w:rsid w:val="00D957E1"/>
    <w:rsid w:val="00D97906"/>
    <w:rsid w:val="00DA0F1E"/>
    <w:rsid w:val="00DA36E9"/>
    <w:rsid w:val="00DA44BA"/>
    <w:rsid w:val="00DA5EAA"/>
    <w:rsid w:val="00DA69D4"/>
    <w:rsid w:val="00DB022F"/>
    <w:rsid w:val="00DB0CBA"/>
    <w:rsid w:val="00DB19A7"/>
    <w:rsid w:val="00DB34C8"/>
    <w:rsid w:val="00DB3AEB"/>
    <w:rsid w:val="00DB4CAA"/>
    <w:rsid w:val="00DB5029"/>
    <w:rsid w:val="00DB5A45"/>
    <w:rsid w:val="00DB6F65"/>
    <w:rsid w:val="00DB7085"/>
    <w:rsid w:val="00DB7203"/>
    <w:rsid w:val="00DC1498"/>
    <w:rsid w:val="00DC31EB"/>
    <w:rsid w:val="00DC68D2"/>
    <w:rsid w:val="00DD346E"/>
    <w:rsid w:val="00DD7C58"/>
    <w:rsid w:val="00DE049B"/>
    <w:rsid w:val="00DE19FA"/>
    <w:rsid w:val="00DE2201"/>
    <w:rsid w:val="00DE23FC"/>
    <w:rsid w:val="00DE56B2"/>
    <w:rsid w:val="00DE5DB7"/>
    <w:rsid w:val="00DE68CF"/>
    <w:rsid w:val="00DE7C27"/>
    <w:rsid w:val="00DF0642"/>
    <w:rsid w:val="00DF2870"/>
    <w:rsid w:val="00DF4360"/>
    <w:rsid w:val="00DF6356"/>
    <w:rsid w:val="00E00865"/>
    <w:rsid w:val="00E00FEC"/>
    <w:rsid w:val="00E01E30"/>
    <w:rsid w:val="00E0329F"/>
    <w:rsid w:val="00E0374F"/>
    <w:rsid w:val="00E0382A"/>
    <w:rsid w:val="00E04253"/>
    <w:rsid w:val="00E04986"/>
    <w:rsid w:val="00E06BE3"/>
    <w:rsid w:val="00E06C68"/>
    <w:rsid w:val="00E077DF"/>
    <w:rsid w:val="00E07A26"/>
    <w:rsid w:val="00E1373B"/>
    <w:rsid w:val="00E141AC"/>
    <w:rsid w:val="00E14F7C"/>
    <w:rsid w:val="00E15543"/>
    <w:rsid w:val="00E16635"/>
    <w:rsid w:val="00E17A9C"/>
    <w:rsid w:val="00E22686"/>
    <w:rsid w:val="00E23BC4"/>
    <w:rsid w:val="00E23DE1"/>
    <w:rsid w:val="00E32CFD"/>
    <w:rsid w:val="00E35FE8"/>
    <w:rsid w:val="00E3614C"/>
    <w:rsid w:val="00E36502"/>
    <w:rsid w:val="00E36871"/>
    <w:rsid w:val="00E40D78"/>
    <w:rsid w:val="00E410CB"/>
    <w:rsid w:val="00E41B56"/>
    <w:rsid w:val="00E41FFE"/>
    <w:rsid w:val="00E42A68"/>
    <w:rsid w:val="00E42C4E"/>
    <w:rsid w:val="00E4319E"/>
    <w:rsid w:val="00E44740"/>
    <w:rsid w:val="00E4525F"/>
    <w:rsid w:val="00E466DC"/>
    <w:rsid w:val="00E467C9"/>
    <w:rsid w:val="00E4682E"/>
    <w:rsid w:val="00E468E3"/>
    <w:rsid w:val="00E46F14"/>
    <w:rsid w:val="00E472AB"/>
    <w:rsid w:val="00E47BFC"/>
    <w:rsid w:val="00E52159"/>
    <w:rsid w:val="00E528F3"/>
    <w:rsid w:val="00E52915"/>
    <w:rsid w:val="00E52FED"/>
    <w:rsid w:val="00E56185"/>
    <w:rsid w:val="00E5631A"/>
    <w:rsid w:val="00E56908"/>
    <w:rsid w:val="00E57CB8"/>
    <w:rsid w:val="00E57E25"/>
    <w:rsid w:val="00E6159B"/>
    <w:rsid w:val="00E65509"/>
    <w:rsid w:val="00E659C6"/>
    <w:rsid w:val="00E65A46"/>
    <w:rsid w:val="00E7133A"/>
    <w:rsid w:val="00E7279B"/>
    <w:rsid w:val="00E73991"/>
    <w:rsid w:val="00E776F6"/>
    <w:rsid w:val="00E77AE0"/>
    <w:rsid w:val="00E801E4"/>
    <w:rsid w:val="00E80ABC"/>
    <w:rsid w:val="00E80C4F"/>
    <w:rsid w:val="00E817A7"/>
    <w:rsid w:val="00E825B9"/>
    <w:rsid w:val="00E900BE"/>
    <w:rsid w:val="00E920C3"/>
    <w:rsid w:val="00E92D9D"/>
    <w:rsid w:val="00E9769B"/>
    <w:rsid w:val="00EA12DB"/>
    <w:rsid w:val="00EA31CB"/>
    <w:rsid w:val="00EA4DD9"/>
    <w:rsid w:val="00EB0609"/>
    <w:rsid w:val="00EB285D"/>
    <w:rsid w:val="00EB2BFB"/>
    <w:rsid w:val="00EB33F5"/>
    <w:rsid w:val="00EB3F36"/>
    <w:rsid w:val="00EB4FA2"/>
    <w:rsid w:val="00EB58EF"/>
    <w:rsid w:val="00EB5E3F"/>
    <w:rsid w:val="00EB6007"/>
    <w:rsid w:val="00EB7D61"/>
    <w:rsid w:val="00EC07F3"/>
    <w:rsid w:val="00EC1317"/>
    <w:rsid w:val="00EC20E1"/>
    <w:rsid w:val="00EC2904"/>
    <w:rsid w:val="00EC2A0E"/>
    <w:rsid w:val="00EC4C65"/>
    <w:rsid w:val="00EC508C"/>
    <w:rsid w:val="00EC52E3"/>
    <w:rsid w:val="00EC54D9"/>
    <w:rsid w:val="00EC629C"/>
    <w:rsid w:val="00EC6CA8"/>
    <w:rsid w:val="00EC7AA2"/>
    <w:rsid w:val="00EC7BC5"/>
    <w:rsid w:val="00ED00AE"/>
    <w:rsid w:val="00ED11C6"/>
    <w:rsid w:val="00ED311C"/>
    <w:rsid w:val="00ED3DF4"/>
    <w:rsid w:val="00ED63ED"/>
    <w:rsid w:val="00ED7896"/>
    <w:rsid w:val="00EE0F91"/>
    <w:rsid w:val="00EE19F3"/>
    <w:rsid w:val="00EE242B"/>
    <w:rsid w:val="00EE27BF"/>
    <w:rsid w:val="00EE3346"/>
    <w:rsid w:val="00EE3E46"/>
    <w:rsid w:val="00EE4F4F"/>
    <w:rsid w:val="00EE5324"/>
    <w:rsid w:val="00EE61DA"/>
    <w:rsid w:val="00EE70DF"/>
    <w:rsid w:val="00EF2460"/>
    <w:rsid w:val="00EF38B3"/>
    <w:rsid w:val="00EF418B"/>
    <w:rsid w:val="00EF61F7"/>
    <w:rsid w:val="00EF63B9"/>
    <w:rsid w:val="00EF75FF"/>
    <w:rsid w:val="00EF77DB"/>
    <w:rsid w:val="00F0244E"/>
    <w:rsid w:val="00F028E3"/>
    <w:rsid w:val="00F04B7D"/>
    <w:rsid w:val="00F06CF9"/>
    <w:rsid w:val="00F0786D"/>
    <w:rsid w:val="00F10C89"/>
    <w:rsid w:val="00F13854"/>
    <w:rsid w:val="00F14CE3"/>
    <w:rsid w:val="00F161FE"/>
    <w:rsid w:val="00F164AC"/>
    <w:rsid w:val="00F179ED"/>
    <w:rsid w:val="00F17E75"/>
    <w:rsid w:val="00F2556C"/>
    <w:rsid w:val="00F265BB"/>
    <w:rsid w:val="00F27B28"/>
    <w:rsid w:val="00F308D1"/>
    <w:rsid w:val="00F31472"/>
    <w:rsid w:val="00F32A75"/>
    <w:rsid w:val="00F36379"/>
    <w:rsid w:val="00F36BC1"/>
    <w:rsid w:val="00F37D40"/>
    <w:rsid w:val="00F404BC"/>
    <w:rsid w:val="00F423D1"/>
    <w:rsid w:val="00F42B66"/>
    <w:rsid w:val="00F4306E"/>
    <w:rsid w:val="00F4347E"/>
    <w:rsid w:val="00F43C74"/>
    <w:rsid w:val="00F45041"/>
    <w:rsid w:val="00F4519E"/>
    <w:rsid w:val="00F46236"/>
    <w:rsid w:val="00F50B4D"/>
    <w:rsid w:val="00F532CB"/>
    <w:rsid w:val="00F544EF"/>
    <w:rsid w:val="00F559FC"/>
    <w:rsid w:val="00F60117"/>
    <w:rsid w:val="00F61F96"/>
    <w:rsid w:val="00F63424"/>
    <w:rsid w:val="00F63AB7"/>
    <w:rsid w:val="00F64D2A"/>
    <w:rsid w:val="00F653EE"/>
    <w:rsid w:val="00F655A0"/>
    <w:rsid w:val="00F67A60"/>
    <w:rsid w:val="00F67ABF"/>
    <w:rsid w:val="00F71A32"/>
    <w:rsid w:val="00F72CB4"/>
    <w:rsid w:val="00F73151"/>
    <w:rsid w:val="00F736B4"/>
    <w:rsid w:val="00F73E78"/>
    <w:rsid w:val="00F801AB"/>
    <w:rsid w:val="00F81C1B"/>
    <w:rsid w:val="00F82367"/>
    <w:rsid w:val="00F873C9"/>
    <w:rsid w:val="00F874A3"/>
    <w:rsid w:val="00F91160"/>
    <w:rsid w:val="00F91229"/>
    <w:rsid w:val="00F91794"/>
    <w:rsid w:val="00F93167"/>
    <w:rsid w:val="00F93A4F"/>
    <w:rsid w:val="00F9475F"/>
    <w:rsid w:val="00F96F76"/>
    <w:rsid w:val="00F97322"/>
    <w:rsid w:val="00FA0050"/>
    <w:rsid w:val="00FA08AE"/>
    <w:rsid w:val="00FA11BE"/>
    <w:rsid w:val="00FA12BB"/>
    <w:rsid w:val="00FA1D81"/>
    <w:rsid w:val="00FA22DA"/>
    <w:rsid w:val="00FA32EE"/>
    <w:rsid w:val="00FB26B2"/>
    <w:rsid w:val="00FB3173"/>
    <w:rsid w:val="00FB3865"/>
    <w:rsid w:val="00FB5D94"/>
    <w:rsid w:val="00FB6856"/>
    <w:rsid w:val="00FB6988"/>
    <w:rsid w:val="00FB6B7F"/>
    <w:rsid w:val="00FB7072"/>
    <w:rsid w:val="00FC2624"/>
    <w:rsid w:val="00FC4710"/>
    <w:rsid w:val="00FC505D"/>
    <w:rsid w:val="00FC517A"/>
    <w:rsid w:val="00FC7C77"/>
    <w:rsid w:val="00FD018E"/>
    <w:rsid w:val="00FD01DA"/>
    <w:rsid w:val="00FD1CEE"/>
    <w:rsid w:val="00FD3CD6"/>
    <w:rsid w:val="00FD51F4"/>
    <w:rsid w:val="00FD5A57"/>
    <w:rsid w:val="00FE02E0"/>
    <w:rsid w:val="00FE0453"/>
    <w:rsid w:val="00FE19FD"/>
    <w:rsid w:val="00FE6614"/>
    <w:rsid w:val="00FE7018"/>
    <w:rsid w:val="00FF3967"/>
    <w:rsid w:val="00FF518D"/>
    <w:rsid w:val="00FF621B"/>
    <w:rsid w:val="00FF6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BEBB31"/>
  <w15:docId w15:val="{BC2D17BA-5D6A-4816-A1C9-479D1CD6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66D"/>
    <w:pPr>
      <w:widowControl w:val="0"/>
    </w:pPr>
    <w:rPr>
      <w:szCs w:val="20"/>
    </w:rPr>
  </w:style>
  <w:style w:type="paragraph" w:styleId="Heading1">
    <w:name w:val="heading 1"/>
    <w:basedOn w:val="Normal"/>
    <w:next w:val="Normal"/>
    <w:link w:val="Heading1Char"/>
    <w:uiPriority w:val="99"/>
    <w:qFormat/>
    <w:rsid w:val="0091084A"/>
    <w:pPr>
      <w:keepNext/>
      <w:outlineLvl w:val="0"/>
    </w:pPr>
    <w:rPr>
      <w:b/>
    </w:rPr>
  </w:style>
  <w:style w:type="paragraph" w:styleId="Heading4">
    <w:name w:val="heading 4"/>
    <w:basedOn w:val="Normal"/>
    <w:next w:val="Normal"/>
    <w:link w:val="Heading4Char"/>
    <w:semiHidden/>
    <w:unhideWhenUsed/>
    <w:qFormat/>
    <w:locked/>
    <w:rsid w:val="0001759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EC8"/>
    <w:rPr>
      <w:rFonts w:asciiTheme="majorHAnsi" w:eastAsiaTheme="majorEastAsia" w:hAnsiTheme="majorHAnsi" w:cstheme="majorBidi"/>
      <w:b/>
      <w:bCs/>
      <w:kern w:val="32"/>
      <w:sz w:val="32"/>
      <w:szCs w:val="32"/>
    </w:rPr>
  </w:style>
  <w:style w:type="paragraph" w:styleId="BodyTextIndent">
    <w:name w:val="Body Text Indent"/>
    <w:basedOn w:val="Normal"/>
    <w:link w:val="BodyTextIndentChar"/>
    <w:uiPriority w:val="99"/>
    <w:semiHidden/>
    <w:rsid w:val="0091084A"/>
    <w:pPr>
      <w:ind w:left="1440"/>
    </w:pPr>
    <w:rPr>
      <w:b/>
    </w:rPr>
  </w:style>
  <w:style w:type="character" w:customStyle="1" w:styleId="BodyTextIndentChar">
    <w:name w:val="Body Text Indent Char"/>
    <w:basedOn w:val="DefaultParagraphFont"/>
    <w:link w:val="BodyTextIndent"/>
    <w:uiPriority w:val="99"/>
    <w:semiHidden/>
    <w:rsid w:val="00135EC8"/>
    <w:rPr>
      <w:szCs w:val="20"/>
    </w:rPr>
  </w:style>
  <w:style w:type="paragraph" w:customStyle="1" w:styleId="Level1">
    <w:name w:val="Level 1"/>
    <w:basedOn w:val="Normal"/>
    <w:uiPriority w:val="99"/>
    <w:rsid w:val="0091084A"/>
  </w:style>
  <w:style w:type="paragraph" w:styleId="FootnoteText">
    <w:name w:val="footnote text"/>
    <w:basedOn w:val="Normal"/>
    <w:link w:val="FootnoteTextChar"/>
    <w:semiHidden/>
    <w:rsid w:val="0091084A"/>
    <w:rPr>
      <w:sz w:val="20"/>
    </w:rPr>
  </w:style>
  <w:style w:type="character" w:customStyle="1" w:styleId="FootnoteTextChar">
    <w:name w:val="Footnote Text Char"/>
    <w:basedOn w:val="DefaultParagraphFont"/>
    <w:link w:val="FootnoteText"/>
    <w:uiPriority w:val="99"/>
    <w:semiHidden/>
    <w:rsid w:val="00135EC8"/>
    <w:rPr>
      <w:sz w:val="20"/>
      <w:szCs w:val="20"/>
    </w:rPr>
  </w:style>
  <w:style w:type="character" w:styleId="FootnoteReference">
    <w:name w:val="footnote reference"/>
    <w:basedOn w:val="DefaultParagraphFont"/>
    <w:semiHidden/>
    <w:rsid w:val="0091084A"/>
    <w:rPr>
      <w:rFonts w:cs="Times New Roman"/>
      <w:vertAlign w:val="superscript"/>
    </w:rPr>
  </w:style>
  <w:style w:type="paragraph" w:styleId="BodyText">
    <w:name w:val="Body Text"/>
    <w:basedOn w:val="Normal"/>
    <w:link w:val="BodyTextChar"/>
    <w:uiPriority w:val="99"/>
    <w:semiHidden/>
    <w:rsid w:val="0091084A"/>
  </w:style>
  <w:style w:type="character" w:customStyle="1" w:styleId="BodyTextChar">
    <w:name w:val="Body Text Char"/>
    <w:basedOn w:val="DefaultParagraphFont"/>
    <w:link w:val="BodyText"/>
    <w:uiPriority w:val="99"/>
    <w:semiHidden/>
    <w:rsid w:val="00135EC8"/>
    <w:rPr>
      <w:szCs w:val="20"/>
    </w:rPr>
  </w:style>
  <w:style w:type="paragraph" w:styleId="Title">
    <w:name w:val="Title"/>
    <w:basedOn w:val="Normal"/>
    <w:link w:val="TitleChar"/>
    <w:uiPriority w:val="99"/>
    <w:qFormat/>
    <w:rsid w:val="0091084A"/>
    <w:pPr>
      <w:jc w:val="center"/>
    </w:pPr>
    <w:rPr>
      <w:b/>
    </w:rPr>
  </w:style>
  <w:style w:type="character" w:customStyle="1" w:styleId="TitleChar">
    <w:name w:val="Title Char"/>
    <w:basedOn w:val="DefaultParagraphFont"/>
    <w:link w:val="Title"/>
    <w:uiPriority w:val="10"/>
    <w:rsid w:val="00135EC8"/>
    <w:rPr>
      <w:rFonts w:asciiTheme="majorHAnsi" w:eastAsiaTheme="majorEastAsia" w:hAnsiTheme="majorHAnsi" w:cstheme="majorBidi"/>
      <w:b/>
      <w:bCs/>
      <w:kern w:val="28"/>
      <w:sz w:val="32"/>
      <w:szCs w:val="32"/>
    </w:rPr>
  </w:style>
  <w:style w:type="paragraph" w:styleId="Header">
    <w:name w:val="header"/>
    <w:basedOn w:val="Normal"/>
    <w:link w:val="HeaderChar"/>
    <w:uiPriority w:val="99"/>
    <w:semiHidden/>
    <w:rsid w:val="0091084A"/>
    <w:pPr>
      <w:tabs>
        <w:tab w:val="center" w:pos="4320"/>
        <w:tab w:val="right" w:pos="8640"/>
      </w:tabs>
    </w:pPr>
  </w:style>
  <w:style w:type="character" w:customStyle="1" w:styleId="HeaderChar">
    <w:name w:val="Header Char"/>
    <w:basedOn w:val="DefaultParagraphFont"/>
    <w:link w:val="Header"/>
    <w:uiPriority w:val="99"/>
    <w:semiHidden/>
    <w:rsid w:val="00135EC8"/>
    <w:rPr>
      <w:szCs w:val="20"/>
    </w:rPr>
  </w:style>
  <w:style w:type="paragraph" w:styleId="Footer">
    <w:name w:val="footer"/>
    <w:basedOn w:val="Normal"/>
    <w:link w:val="FooterChar"/>
    <w:uiPriority w:val="99"/>
    <w:rsid w:val="0091084A"/>
    <w:pPr>
      <w:tabs>
        <w:tab w:val="center" w:pos="4320"/>
        <w:tab w:val="right" w:pos="8640"/>
      </w:tabs>
    </w:pPr>
  </w:style>
  <w:style w:type="character" w:customStyle="1" w:styleId="FooterChar">
    <w:name w:val="Footer Char"/>
    <w:basedOn w:val="DefaultParagraphFont"/>
    <w:link w:val="Footer"/>
    <w:uiPriority w:val="99"/>
    <w:locked/>
    <w:rsid w:val="00345090"/>
    <w:rPr>
      <w:rFonts w:cs="Times New Roman"/>
      <w:sz w:val="22"/>
    </w:rPr>
  </w:style>
  <w:style w:type="paragraph" w:customStyle="1" w:styleId="WP9BodyText">
    <w:name w:val="WP9_Body Text"/>
    <w:basedOn w:val="Normal"/>
    <w:uiPriority w:val="99"/>
    <w:rsid w:val="0091084A"/>
  </w:style>
  <w:style w:type="paragraph" w:styleId="BodyTextIndent2">
    <w:name w:val="Body Text Indent 2"/>
    <w:basedOn w:val="Normal"/>
    <w:link w:val="BodyTextIndent2Char"/>
    <w:uiPriority w:val="99"/>
    <w:semiHidden/>
    <w:rsid w:val="0091084A"/>
    <w:pPr>
      <w:ind w:left="720"/>
    </w:pPr>
  </w:style>
  <w:style w:type="character" w:customStyle="1" w:styleId="BodyTextIndent2Char">
    <w:name w:val="Body Text Indent 2 Char"/>
    <w:basedOn w:val="DefaultParagraphFont"/>
    <w:link w:val="BodyTextIndent2"/>
    <w:uiPriority w:val="99"/>
    <w:semiHidden/>
    <w:rsid w:val="00135EC8"/>
    <w:rPr>
      <w:szCs w:val="20"/>
    </w:rPr>
  </w:style>
  <w:style w:type="paragraph" w:styleId="BalloonText">
    <w:name w:val="Balloon Text"/>
    <w:basedOn w:val="Normal"/>
    <w:link w:val="BalloonTextChar"/>
    <w:uiPriority w:val="99"/>
    <w:semiHidden/>
    <w:rsid w:val="00BF71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713F"/>
    <w:rPr>
      <w:rFonts w:ascii="Tahoma" w:hAnsi="Tahoma" w:cs="Tahoma"/>
      <w:sz w:val="16"/>
      <w:szCs w:val="16"/>
    </w:rPr>
  </w:style>
  <w:style w:type="paragraph" w:styleId="ListParagraph">
    <w:name w:val="List Paragraph"/>
    <w:basedOn w:val="Normal"/>
    <w:uiPriority w:val="34"/>
    <w:qFormat/>
    <w:rsid w:val="00D4566D"/>
    <w:pPr>
      <w:ind w:left="720"/>
      <w:contextualSpacing/>
    </w:pPr>
  </w:style>
  <w:style w:type="paragraph" w:styleId="NormalWeb">
    <w:name w:val="Normal (Web)"/>
    <w:basedOn w:val="Normal"/>
    <w:uiPriority w:val="99"/>
    <w:unhideWhenUsed/>
    <w:rsid w:val="00EB7D61"/>
    <w:pPr>
      <w:widowControl/>
      <w:spacing w:before="100" w:beforeAutospacing="1" w:after="100" w:afterAutospacing="1"/>
    </w:pPr>
    <w:rPr>
      <w:rFonts w:eastAsiaTheme="minorEastAsia"/>
      <w:sz w:val="24"/>
      <w:szCs w:val="24"/>
    </w:rPr>
  </w:style>
  <w:style w:type="character" w:styleId="Hyperlink">
    <w:name w:val="Hyperlink"/>
    <w:basedOn w:val="DefaultParagraphFont"/>
    <w:semiHidden/>
    <w:rsid w:val="00F736B4"/>
    <w:rPr>
      <w:color w:val="0000FF"/>
      <w:u w:val="single"/>
    </w:rPr>
  </w:style>
  <w:style w:type="character" w:customStyle="1" w:styleId="Heading4Char">
    <w:name w:val="Heading 4 Char"/>
    <w:basedOn w:val="DefaultParagraphFont"/>
    <w:link w:val="Heading4"/>
    <w:semiHidden/>
    <w:rsid w:val="00017596"/>
    <w:rPr>
      <w:rFonts w:asciiTheme="majorHAnsi" w:eastAsiaTheme="majorEastAsia" w:hAnsiTheme="majorHAnsi" w:cstheme="majorBidi"/>
      <w:i/>
      <w:iCs/>
      <w:color w:val="365F91" w:themeColor="accent1" w:themeShade="BF"/>
      <w:szCs w:val="20"/>
    </w:rPr>
  </w:style>
  <w:style w:type="character" w:customStyle="1" w:styleId="mdcpagetype">
    <w:name w:val="mdcpagetype"/>
    <w:basedOn w:val="DefaultParagraphFont"/>
    <w:rsid w:val="00017596"/>
  </w:style>
  <w:style w:type="character" w:customStyle="1" w:styleId="mdcpagetitle">
    <w:name w:val="mdcpagetitle"/>
    <w:basedOn w:val="DefaultParagraphFont"/>
    <w:rsid w:val="00017596"/>
  </w:style>
  <w:style w:type="character" w:customStyle="1" w:styleId="address">
    <w:name w:val="address"/>
    <w:basedOn w:val="DefaultParagraphFont"/>
    <w:rsid w:val="00B61606"/>
  </w:style>
  <w:style w:type="paragraph" w:customStyle="1" w:styleId="Default">
    <w:name w:val="Default"/>
    <w:rsid w:val="00766F64"/>
    <w:pPr>
      <w:autoSpaceDE w:val="0"/>
      <w:autoSpaceDN w:val="0"/>
      <w:adjustRightInd w:val="0"/>
    </w:pPr>
    <w:rPr>
      <w:rFonts w:ascii="Arial" w:hAnsi="Arial" w:cs="Arial"/>
      <w:color w:val="000000"/>
      <w:sz w:val="24"/>
      <w:szCs w:val="24"/>
    </w:rPr>
  </w:style>
  <w:style w:type="character" w:customStyle="1" w:styleId="tgc">
    <w:name w:val="_tgc"/>
    <w:basedOn w:val="DefaultParagraphFont"/>
    <w:rsid w:val="00E00865"/>
  </w:style>
  <w:style w:type="character" w:styleId="UnresolvedMention">
    <w:name w:val="Unresolved Mention"/>
    <w:basedOn w:val="DefaultParagraphFont"/>
    <w:uiPriority w:val="99"/>
    <w:semiHidden/>
    <w:unhideWhenUsed/>
    <w:rsid w:val="007B1857"/>
    <w:rPr>
      <w:color w:val="605E5C"/>
      <w:shd w:val="clear" w:color="auto" w:fill="E1DFDD"/>
    </w:rPr>
  </w:style>
  <w:style w:type="paragraph" w:styleId="EndnoteText">
    <w:name w:val="endnote text"/>
    <w:basedOn w:val="Normal"/>
    <w:link w:val="EndnoteTextChar"/>
    <w:uiPriority w:val="99"/>
    <w:semiHidden/>
    <w:unhideWhenUsed/>
    <w:rsid w:val="00DE23FC"/>
    <w:rPr>
      <w:sz w:val="20"/>
    </w:rPr>
  </w:style>
  <w:style w:type="character" w:customStyle="1" w:styleId="EndnoteTextChar">
    <w:name w:val="Endnote Text Char"/>
    <w:basedOn w:val="DefaultParagraphFont"/>
    <w:link w:val="EndnoteText"/>
    <w:uiPriority w:val="99"/>
    <w:semiHidden/>
    <w:rsid w:val="00DE23FC"/>
    <w:rPr>
      <w:sz w:val="20"/>
      <w:szCs w:val="20"/>
    </w:rPr>
  </w:style>
  <w:style w:type="character" w:styleId="EndnoteReference">
    <w:name w:val="endnote reference"/>
    <w:basedOn w:val="DefaultParagraphFont"/>
    <w:uiPriority w:val="99"/>
    <w:semiHidden/>
    <w:unhideWhenUsed/>
    <w:rsid w:val="00DE2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135624">
      <w:bodyDiv w:val="1"/>
      <w:marLeft w:val="0"/>
      <w:marRight w:val="0"/>
      <w:marTop w:val="0"/>
      <w:marBottom w:val="0"/>
      <w:divBdr>
        <w:top w:val="none" w:sz="0" w:space="0" w:color="auto"/>
        <w:left w:val="none" w:sz="0" w:space="0" w:color="auto"/>
        <w:bottom w:val="none" w:sz="0" w:space="0" w:color="auto"/>
        <w:right w:val="none" w:sz="0" w:space="0" w:color="auto"/>
      </w:divBdr>
    </w:div>
    <w:div w:id="350838141">
      <w:bodyDiv w:val="1"/>
      <w:marLeft w:val="0"/>
      <w:marRight w:val="0"/>
      <w:marTop w:val="0"/>
      <w:marBottom w:val="0"/>
      <w:divBdr>
        <w:top w:val="none" w:sz="0" w:space="0" w:color="auto"/>
        <w:left w:val="none" w:sz="0" w:space="0" w:color="auto"/>
        <w:bottom w:val="none" w:sz="0" w:space="0" w:color="auto"/>
        <w:right w:val="none" w:sz="0" w:space="0" w:color="auto"/>
      </w:divBdr>
    </w:div>
    <w:div w:id="360396125">
      <w:bodyDiv w:val="1"/>
      <w:marLeft w:val="0"/>
      <w:marRight w:val="0"/>
      <w:marTop w:val="0"/>
      <w:marBottom w:val="0"/>
      <w:divBdr>
        <w:top w:val="none" w:sz="0" w:space="0" w:color="auto"/>
        <w:left w:val="none" w:sz="0" w:space="0" w:color="auto"/>
        <w:bottom w:val="none" w:sz="0" w:space="0" w:color="auto"/>
        <w:right w:val="none" w:sz="0" w:space="0" w:color="auto"/>
      </w:divBdr>
      <w:divsChild>
        <w:div w:id="1923831685">
          <w:marLeft w:val="0"/>
          <w:marRight w:val="0"/>
          <w:marTop w:val="0"/>
          <w:marBottom w:val="0"/>
          <w:divBdr>
            <w:top w:val="none" w:sz="0" w:space="0" w:color="auto"/>
            <w:left w:val="none" w:sz="0" w:space="0" w:color="auto"/>
            <w:bottom w:val="none" w:sz="0" w:space="0" w:color="auto"/>
            <w:right w:val="none" w:sz="0" w:space="0" w:color="auto"/>
          </w:divBdr>
        </w:div>
        <w:div w:id="441649895">
          <w:marLeft w:val="0"/>
          <w:marRight w:val="0"/>
          <w:marTop w:val="0"/>
          <w:marBottom w:val="0"/>
          <w:divBdr>
            <w:top w:val="none" w:sz="0" w:space="0" w:color="auto"/>
            <w:left w:val="none" w:sz="0" w:space="0" w:color="auto"/>
            <w:bottom w:val="none" w:sz="0" w:space="0" w:color="auto"/>
            <w:right w:val="none" w:sz="0" w:space="0" w:color="auto"/>
          </w:divBdr>
          <w:divsChild>
            <w:div w:id="490607411">
              <w:marLeft w:val="0"/>
              <w:marRight w:val="0"/>
              <w:marTop w:val="0"/>
              <w:marBottom w:val="0"/>
              <w:divBdr>
                <w:top w:val="none" w:sz="0" w:space="0" w:color="auto"/>
                <w:left w:val="none" w:sz="0" w:space="0" w:color="auto"/>
                <w:bottom w:val="none" w:sz="0" w:space="0" w:color="auto"/>
                <w:right w:val="none" w:sz="0" w:space="0" w:color="auto"/>
              </w:divBdr>
            </w:div>
          </w:divsChild>
        </w:div>
        <w:div w:id="1087920203">
          <w:marLeft w:val="0"/>
          <w:marRight w:val="0"/>
          <w:marTop w:val="0"/>
          <w:marBottom w:val="0"/>
          <w:divBdr>
            <w:top w:val="none" w:sz="0" w:space="0" w:color="auto"/>
            <w:left w:val="none" w:sz="0" w:space="0" w:color="auto"/>
            <w:bottom w:val="none" w:sz="0" w:space="0" w:color="auto"/>
            <w:right w:val="none" w:sz="0" w:space="0" w:color="auto"/>
          </w:divBdr>
          <w:divsChild>
            <w:div w:id="916943024">
              <w:marLeft w:val="0"/>
              <w:marRight w:val="0"/>
              <w:marTop w:val="0"/>
              <w:marBottom w:val="0"/>
              <w:divBdr>
                <w:top w:val="none" w:sz="0" w:space="0" w:color="auto"/>
                <w:left w:val="none" w:sz="0" w:space="0" w:color="auto"/>
                <w:bottom w:val="none" w:sz="0" w:space="0" w:color="auto"/>
                <w:right w:val="none" w:sz="0" w:space="0" w:color="auto"/>
              </w:divBdr>
              <w:divsChild>
                <w:div w:id="132916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12253">
          <w:marLeft w:val="0"/>
          <w:marRight w:val="0"/>
          <w:marTop w:val="0"/>
          <w:marBottom w:val="0"/>
          <w:divBdr>
            <w:top w:val="none" w:sz="0" w:space="0" w:color="auto"/>
            <w:left w:val="none" w:sz="0" w:space="0" w:color="auto"/>
            <w:bottom w:val="none" w:sz="0" w:space="0" w:color="auto"/>
            <w:right w:val="none" w:sz="0" w:space="0" w:color="auto"/>
          </w:divBdr>
          <w:divsChild>
            <w:div w:id="481850486">
              <w:marLeft w:val="0"/>
              <w:marRight w:val="0"/>
              <w:marTop w:val="0"/>
              <w:marBottom w:val="0"/>
              <w:divBdr>
                <w:top w:val="none" w:sz="0" w:space="0" w:color="auto"/>
                <w:left w:val="none" w:sz="0" w:space="0" w:color="auto"/>
                <w:bottom w:val="none" w:sz="0" w:space="0" w:color="auto"/>
                <w:right w:val="none" w:sz="0" w:space="0" w:color="auto"/>
              </w:divBdr>
              <w:divsChild>
                <w:div w:id="1950821320">
                  <w:marLeft w:val="0"/>
                  <w:marRight w:val="0"/>
                  <w:marTop w:val="0"/>
                  <w:marBottom w:val="0"/>
                  <w:divBdr>
                    <w:top w:val="none" w:sz="0" w:space="0" w:color="auto"/>
                    <w:left w:val="none" w:sz="0" w:space="0" w:color="auto"/>
                    <w:bottom w:val="none" w:sz="0" w:space="0" w:color="auto"/>
                    <w:right w:val="none" w:sz="0" w:space="0" w:color="auto"/>
                  </w:divBdr>
                  <w:divsChild>
                    <w:div w:id="775440652">
                      <w:marLeft w:val="0"/>
                      <w:marRight w:val="0"/>
                      <w:marTop w:val="0"/>
                      <w:marBottom w:val="0"/>
                      <w:divBdr>
                        <w:top w:val="none" w:sz="0" w:space="0" w:color="auto"/>
                        <w:left w:val="none" w:sz="0" w:space="0" w:color="auto"/>
                        <w:bottom w:val="none" w:sz="0" w:space="0" w:color="auto"/>
                        <w:right w:val="none" w:sz="0" w:space="0" w:color="auto"/>
                      </w:divBdr>
                      <w:divsChild>
                        <w:div w:id="1687831141">
                          <w:marLeft w:val="0"/>
                          <w:marRight w:val="0"/>
                          <w:marTop w:val="0"/>
                          <w:marBottom w:val="0"/>
                          <w:divBdr>
                            <w:top w:val="none" w:sz="0" w:space="0" w:color="auto"/>
                            <w:left w:val="none" w:sz="0" w:space="0" w:color="auto"/>
                            <w:bottom w:val="none" w:sz="0" w:space="0" w:color="auto"/>
                            <w:right w:val="none" w:sz="0" w:space="0" w:color="auto"/>
                          </w:divBdr>
                          <w:divsChild>
                            <w:div w:id="2135632524">
                              <w:marLeft w:val="0"/>
                              <w:marRight w:val="0"/>
                              <w:marTop w:val="0"/>
                              <w:marBottom w:val="0"/>
                              <w:divBdr>
                                <w:top w:val="none" w:sz="0" w:space="0" w:color="auto"/>
                                <w:left w:val="none" w:sz="0" w:space="0" w:color="auto"/>
                                <w:bottom w:val="none" w:sz="0" w:space="0" w:color="auto"/>
                                <w:right w:val="none" w:sz="0" w:space="0" w:color="auto"/>
                              </w:divBdr>
                              <w:divsChild>
                                <w:div w:id="1460025715">
                                  <w:marLeft w:val="0"/>
                                  <w:marRight w:val="0"/>
                                  <w:marTop w:val="0"/>
                                  <w:marBottom w:val="0"/>
                                  <w:divBdr>
                                    <w:top w:val="none" w:sz="0" w:space="0" w:color="auto"/>
                                    <w:left w:val="none" w:sz="0" w:space="0" w:color="auto"/>
                                    <w:bottom w:val="none" w:sz="0" w:space="0" w:color="auto"/>
                                    <w:right w:val="none" w:sz="0" w:space="0" w:color="auto"/>
                                  </w:divBdr>
                                  <w:divsChild>
                                    <w:div w:id="14498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924518">
              <w:marLeft w:val="0"/>
              <w:marRight w:val="0"/>
              <w:marTop w:val="0"/>
              <w:marBottom w:val="0"/>
              <w:divBdr>
                <w:top w:val="none" w:sz="0" w:space="0" w:color="auto"/>
                <w:left w:val="none" w:sz="0" w:space="0" w:color="auto"/>
                <w:bottom w:val="none" w:sz="0" w:space="0" w:color="auto"/>
                <w:right w:val="none" w:sz="0" w:space="0" w:color="auto"/>
              </w:divBdr>
              <w:divsChild>
                <w:div w:id="792362837">
                  <w:marLeft w:val="0"/>
                  <w:marRight w:val="0"/>
                  <w:marTop w:val="0"/>
                  <w:marBottom w:val="0"/>
                  <w:divBdr>
                    <w:top w:val="none" w:sz="0" w:space="0" w:color="auto"/>
                    <w:left w:val="none" w:sz="0" w:space="0" w:color="auto"/>
                    <w:bottom w:val="none" w:sz="0" w:space="0" w:color="auto"/>
                    <w:right w:val="none" w:sz="0" w:space="0" w:color="auto"/>
                  </w:divBdr>
                  <w:divsChild>
                    <w:div w:id="1873153601">
                      <w:marLeft w:val="0"/>
                      <w:marRight w:val="0"/>
                      <w:marTop w:val="0"/>
                      <w:marBottom w:val="0"/>
                      <w:divBdr>
                        <w:top w:val="none" w:sz="0" w:space="0" w:color="auto"/>
                        <w:left w:val="none" w:sz="0" w:space="0" w:color="auto"/>
                        <w:bottom w:val="none" w:sz="0" w:space="0" w:color="auto"/>
                        <w:right w:val="none" w:sz="0" w:space="0" w:color="auto"/>
                      </w:divBdr>
                    </w:div>
                    <w:div w:id="1774473032">
                      <w:marLeft w:val="0"/>
                      <w:marRight w:val="0"/>
                      <w:marTop w:val="0"/>
                      <w:marBottom w:val="0"/>
                      <w:divBdr>
                        <w:top w:val="none" w:sz="0" w:space="0" w:color="auto"/>
                        <w:left w:val="none" w:sz="0" w:space="0" w:color="auto"/>
                        <w:bottom w:val="none" w:sz="0" w:space="0" w:color="auto"/>
                        <w:right w:val="none" w:sz="0" w:space="0" w:color="auto"/>
                      </w:divBdr>
                    </w:div>
                  </w:divsChild>
                </w:div>
                <w:div w:id="1945379605">
                  <w:marLeft w:val="0"/>
                  <w:marRight w:val="0"/>
                  <w:marTop w:val="0"/>
                  <w:marBottom w:val="0"/>
                  <w:divBdr>
                    <w:top w:val="none" w:sz="0" w:space="0" w:color="auto"/>
                    <w:left w:val="none" w:sz="0" w:space="0" w:color="auto"/>
                    <w:bottom w:val="none" w:sz="0" w:space="0" w:color="auto"/>
                    <w:right w:val="none" w:sz="0" w:space="0" w:color="auto"/>
                  </w:divBdr>
                  <w:divsChild>
                    <w:div w:id="1551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2677">
          <w:marLeft w:val="0"/>
          <w:marRight w:val="0"/>
          <w:marTop w:val="0"/>
          <w:marBottom w:val="0"/>
          <w:divBdr>
            <w:top w:val="none" w:sz="0" w:space="0" w:color="auto"/>
            <w:left w:val="none" w:sz="0" w:space="0" w:color="auto"/>
            <w:bottom w:val="none" w:sz="0" w:space="0" w:color="auto"/>
            <w:right w:val="none" w:sz="0" w:space="0" w:color="auto"/>
          </w:divBdr>
        </w:div>
        <w:div w:id="1289582424">
          <w:marLeft w:val="0"/>
          <w:marRight w:val="0"/>
          <w:marTop w:val="0"/>
          <w:marBottom w:val="0"/>
          <w:divBdr>
            <w:top w:val="none" w:sz="0" w:space="0" w:color="auto"/>
            <w:left w:val="none" w:sz="0" w:space="0" w:color="auto"/>
            <w:bottom w:val="none" w:sz="0" w:space="0" w:color="auto"/>
            <w:right w:val="none" w:sz="0" w:space="0" w:color="auto"/>
          </w:divBdr>
        </w:div>
      </w:divsChild>
    </w:div>
    <w:div w:id="632101551">
      <w:bodyDiv w:val="1"/>
      <w:marLeft w:val="0"/>
      <w:marRight w:val="0"/>
      <w:marTop w:val="0"/>
      <w:marBottom w:val="0"/>
      <w:divBdr>
        <w:top w:val="none" w:sz="0" w:space="0" w:color="auto"/>
        <w:left w:val="none" w:sz="0" w:space="0" w:color="auto"/>
        <w:bottom w:val="none" w:sz="0" w:space="0" w:color="auto"/>
        <w:right w:val="none" w:sz="0" w:space="0" w:color="auto"/>
      </w:divBdr>
      <w:divsChild>
        <w:div w:id="795295339">
          <w:marLeft w:val="0"/>
          <w:marRight w:val="0"/>
          <w:marTop w:val="0"/>
          <w:marBottom w:val="0"/>
          <w:divBdr>
            <w:top w:val="none" w:sz="0" w:space="0" w:color="auto"/>
            <w:left w:val="none" w:sz="0" w:space="0" w:color="auto"/>
            <w:bottom w:val="none" w:sz="0" w:space="0" w:color="auto"/>
            <w:right w:val="none" w:sz="0" w:space="0" w:color="auto"/>
          </w:divBdr>
          <w:divsChild>
            <w:div w:id="1102915655">
              <w:marLeft w:val="0"/>
              <w:marRight w:val="0"/>
              <w:marTop w:val="0"/>
              <w:marBottom w:val="0"/>
              <w:divBdr>
                <w:top w:val="none" w:sz="0" w:space="0" w:color="auto"/>
                <w:left w:val="none" w:sz="0" w:space="0" w:color="auto"/>
                <w:bottom w:val="none" w:sz="0" w:space="0" w:color="auto"/>
                <w:right w:val="none" w:sz="0" w:space="0" w:color="auto"/>
              </w:divBdr>
            </w:div>
          </w:divsChild>
        </w:div>
        <w:div w:id="1082292674">
          <w:marLeft w:val="0"/>
          <w:marRight w:val="0"/>
          <w:marTop w:val="0"/>
          <w:marBottom w:val="0"/>
          <w:divBdr>
            <w:top w:val="none" w:sz="0" w:space="0" w:color="auto"/>
            <w:left w:val="none" w:sz="0" w:space="0" w:color="auto"/>
            <w:bottom w:val="none" w:sz="0" w:space="0" w:color="auto"/>
            <w:right w:val="none" w:sz="0" w:space="0" w:color="auto"/>
          </w:divBdr>
          <w:divsChild>
            <w:div w:id="512451363">
              <w:marLeft w:val="0"/>
              <w:marRight w:val="0"/>
              <w:marTop w:val="0"/>
              <w:marBottom w:val="0"/>
              <w:divBdr>
                <w:top w:val="none" w:sz="0" w:space="0" w:color="auto"/>
                <w:left w:val="none" w:sz="0" w:space="0" w:color="auto"/>
                <w:bottom w:val="none" w:sz="0" w:space="0" w:color="auto"/>
                <w:right w:val="none" w:sz="0" w:space="0" w:color="auto"/>
              </w:divBdr>
            </w:div>
            <w:div w:id="1965187444">
              <w:marLeft w:val="0"/>
              <w:marRight w:val="0"/>
              <w:marTop w:val="0"/>
              <w:marBottom w:val="0"/>
              <w:divBdr>
                <w:top w:val="none" w:sz="0" w:space="0" w:color="auto"/>
                <w:left w:val="none" w:sz="0" w:space="0" w:color="auto"/>
                <w:bottom w:val="none" w:sz="0" w:space="0" w:color="auto"/>
                <w:right w:val="none" w:sz="0" w:space="0" w:color="auto"/>
              </w:divBdr>
              <w:divsChild>
                <w:div w:id="144932422">
                  <w:marLeft w:val="0"/>
                  <w:marRight w:val="0"/>
                  <w:marTop w:val="0"/>
                  <w:marBottom w:val="0"/>
                  <w:divBdr>
                    <w:top w:val="none" w:sz="0" w:space="0" w:color="auto"/>
                    <w:left w:val="none" w:sz="0" w:space="0" w:color="auto"/>
                    <w:bottom w:val="none" w:sz="0" w:space="0" w:color="auto"/>
                    <w:right w:val="none" w:sz="0" w:space="0" w:color="auto"/>
                  </w:divBdr>
                  <w:divsChild>
                    <w:div w:id="16451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958221">
      <w:bodyDiv w:val="1"/>
      <w:marLeft w:val="0"/>
      <w:marRight w:val="0"/>
      <w:marTop w:val="0"/>
      <w:marBottom w:val="0"/>
      <w:divBdr>
        <w:top w:val="none" w:sz="0" w:space="0" w:color="auto"/>
        <w:left w:val="none" w:sz="0" w:space="0" w:color="auto"/>
        <w:bottom w:val="none" w:sz="0" w:space="0" w:color="auto"/>
        <w:right w:val="none" w:sz="0" w:space="0" w:color="auto"/>
      </w:divBdr>
      <w:divsChild>
        <w:div w:id="1751148715">
          <w:marLeft w:val="0"/>
          <w:marRight w:val="0"/>
          <w:marTop w:val="0"/>
          <w:marBottom w:val="0"/>
          <w:divBdr>
            <w:top w:val="none" w:sz="0" w:space="0" w:color="auto"/>
            <w:left w:val="none" w:sz="0" w:space="0" w:color="auto"/>
            <w:bottom w:val="none" w:sz="0" w:space="0" w:color="auto"/>
            <w:right w:val="none" w:sz="0" w:space="0" w:color="auto"/>
          </w:divBdr>
          <w:divsChild>
            <w:div w:id="147403836">
              <w:marLeft w:val="0"/>
              <w:marRight w:val="0"/>
              <w:marTop w:val="0"/>
              <w:marBottom w:val="0"/>
              <w:divBdr>
                <w:top w:val="none" w:sz="0" w:space="0" w:color="auto"/>
                <w:left w:val="none" w:sz="0" w:space="0" w:color="auto"/>
                <w:bottom w:val="none" w:sz="0" w:space="0" w:color="auto"/>
                <w:right w:val="none" w:sz="0" w:space="0" w:color="auto"/>
              </w:divBdr>
              <w:divsChild>
                <w:div w:id="131413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91730">
          <w:marLeft w:val="0"/>
          <w:marRight w:val="0"/>
          <w:marTop w:val="0"/>
          <w:marBottom w:val="0"/>
          <w:divBdr>
            <w:top w:val="none" w:sz="0" w:space="0" w:color="auto"/>
            <w:left w:val="none" w:sz="0" w:space="0" w:color="auto"/>
            <w:bottom w:val="none" w:sz="0" w:space="0" w:color="auto"/>
            <w:right w:val="none" w:sz="0" w:space="0" w:color="auto"/>
          </w:divBdr>
          <w:divsChild>
            <w:div w:id="13846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05256">
      <w:bodyDiv w:val="1"/>
      <w:marLeft w:val="0"/>
      <w:marRight w:val="0"/>
      <w:marTop w:val="0"/>
      <w:marBottom w:val="0"/>
      <w:divBdr>
        <w:top w:val="none" w:sz="0" w:space="0" w:color="auto"/>
        <w:left w:val="none" w:sz="0" w:space="0" w:color="auto"/>
        <w:bottom w:val="none" w:sz="0" w:space="0" w:color="auto"/>
        <w:right w:val="none" w:sz="0" w:space="0" w:color="auto"/>
      </w:divBdr>
      <w:divsChild>
        <w:div w:id="1490823379">
          <w:marLeft w:val="0"/>
          <w:marRight w:val="0"/>
          <w:marTop w:val="0"/>
          <w:marBottom w:val="0"/>
          <w:divBdr>
            <w:top w:val="none" w:sz="0" w:space="0" w:color="auto"/>
            <w:left w:val="none" w:sz="0" w:space="0" w:color="auto"/>
            <w:bottom w:val="none" w:sz="0" w:space="0" w:color="auto"/>
            <w:right w:val="none" w:sz="0" w:space="0" w:color="auto"/>
          </w:divBdr>
          <w:divsChild>
            <w:div w:id="697773548">
              <w:marLeft w:val="0"/>
              <w:marRight w:val="0"/>
              <w:marTop w:val="0"/>
              <w:marBottom w:val="0"/>
              <w:divBdr>
                <w:top w:val="none" w:sz="0" w:space="0" w:color="auto"/>
                <w:left w:val="none" w:sz="0" w:space="0" w:color="auto"/>
                <w:bottom w:val="none" w:sz="0" w:space="0" w:color="auto"/>
                <w:right w:val="none" w:sz="0" w:space="0" w:color="auto"/>
              </w:divBdr>
              <w:divsChild>
                <w:div w:id="20426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50909">
          <w:marLeft w:val="0"/>
          <w:marRight w:val="0"/>
          <w:marTop w:val="0"/>
          <w:marBottom w:val="0"/>
          <w:divBdr>
            <w:top w:val="none" w:sz="0" w:space="0" w:color="auto"/>
            <w:left w:val="none" w:sz="0" w:space="0" w:color="auto"/>
            <w:bottom w:val="none" w:sz="0" w:space="0" w:color="auto"/>
            <w:right w:val="none" w:sz="0" w:space="0" w:color="auto"/>
          </w:divBdr>
          <w:divsChild>
            <w:div w:id="4996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03685">
      <w:bodyDiv w:val="1"/>
      <w:marLeft w:val="0"/>
      <w:marRight w:val="0"/>
      <w:marTop w:val="0"/>
      <w:marBottom w:val="0"/>
      <w:divBdr>
        <w:top w:val="none" w:sz="0" w:space="0" w:color="auto"/>
        <w:left w:val="none" w:sz="0" w:space="0" w:color="auto"/>
        <w:bottom w:val="none" w:sz="0" w:space="0" w:color="auto"/>
        <w:right w:val="none" w:sz="0" w:space="0" w:color="auto"/>
      </w:divBdr>
    </w:div>
    <w:div w:id="951518506">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1057360429">
      <w:bodyDiv w:val="1"/>
      <w:marLeft w:val="0"/>
      <w:marRight w:val="0"/>
      <w:marTop w:val="0"/>
      <w:marBottom w:val="0"/>
      <w:divBdr>
        <w:top w:val="none" w:sz="0" w:space="0" w:color="auto"/>
        <w:left w:val="none" w:sz="0" w:space="0" w:color="auto"/>
        <w:bottom w:val="none" w:sz="0" w:space="0" w:color="auto"/>
        <w:right w:val="none" w:sz="0" w:space="0" w:color="auto"/>
      </w:divBdr>
    </w:div>
    <w:div w:id="1142381886">
      <w:bodyDiv w:val="1"/>
      <w:marLeft w:val="0"/>
      <w:marRight w:val="0"/>
      <w:marTop w:val="0"/>
      <w:marBottom w:val="0"/>
      <w:divBdr>
        <w:top w:val="none" w:sz="0" w:space="0" w:color="auto"/>
        <w:left w:val="none" w:sz="0" w:space="0" w:color="auto"/>
        <w:bottom w:val="none" w:sz="0" w:space="0" w:color="auto"/>
        <w:right w:val="none" w:sz="0" w:space="0" w:color="auto"/>
      </w:divBdr>
    </w:div>
    <w:div w:id="1191379643">
      <w:bodyDiv w:val="1"/>
      <w:marLeft w:val="0"/>
      <w:marRight w:val="0"/>
      <w:marTop w:val="0"/>
      <w:marBottom w:val="0"/>
      <w:divBdr>
        <w:top w:val="none" w:sz="0" w:space="0" w:color="auto"/>
        <w:left w:val="none" w:sz="0" w:space="0" w:color="auto"/>
        <w:bottom w:val="none" w:sz="0" w:space="0" w:color="auto"/>
        <w:right w:val="none" w:sz="0" w:space="0" w:color="auto"/>
      </w:divBdr>
    </w:div>
    <w:div w:id="1226447855">
      <w:bodyDiv w:val="1"/>
      <w:marLeft w:val="0"/>
      <w:marRight w:val="0"/>
      <w:marTop w:val="0"/>
      <w:marBottom w:val="0"/>
      <w:divBdr>
        <w:top w:val="none" w:sz="0" w:space="0" w:color="auto"/>
        <w:left w:val="none" w:sz="0" w:space="0" w:color="auto"/>
        <w:bottom w:val="none" w:sz="0" w:space="0" w:color="auto"/>
        <w:right w:val="none" w:sz="0" w:space="0" w:color="auto"/>
      </w:divBdr>
    </w:div>
    <w:div w:id="1334797797">
      <w:bodyDiv w:val="1"/>
      <w:marLeft w:val="0"/>
      <w:marRight w:val="0"/>
      <w:marTop w:val="0"/>
      <w:marBottom w:val="0"/>
      <w:divBdr>
        <w:top w:val="none" w:sz="0" w:space="0" w:color="auto"/>
        <w:left w:val="none" w:sz="0" w:space="0" w:color="auto"/>
        <w:bottom w:val="none" w:sz="0" w:space="0" w:color="auto"/>
        <w:right w:val="none" w:sz="0" w:space="0" w:color="auto"/>
      </w:divBdr>
      <w:divsChild>
        <w:div w:id="829447070">
          <w:marLeft w:val="0"/>
          <w:marRight w:val="0"/>
          <w:marTop w:val="0"/>
          <w:marBottom w:val="0"/>
          <w:divBdr>
            <w:top w:val="none" w:sz="0" w:space="0" w:color="auto"/>
            <w:left w:val="none" w:sz="0" w:space="0" w:color="auto"/>
            <w:bottom w:val="none" w:sz="0" w:space="0" w:color="auto"/>
            <w:right w:val="none" w:sz="0" w:space="0" w:color="auto"/>
          </w:divBdr>
          <w:divsChild>
            <w:div w:id="1221402430">
              <w:marLeft w:val="0"/>
              <w:marRight w:val="0"/>
              <w:marTop w:val="0"/>
              <w:marBottom w:val="0"/>
              <w:divBdr>
                <w:top w:val="none" w:sz="0" w:space="0" w:color="auto"/>
                <w:left w:val="none" w:sz="0" w:space="0" w:color="auto"/>
                <w:bottom w:val="none" w:sz="0" w:space="0" w:color="auto"/>
                <w:right w:val="none" w:sz="0" w:space="0" w:color="auto"/>
              </w:divBdr>
            </w:div>
            <w:div w:id="727994285">
              <w:marLeft w:val="0"/>
              <w:marRight w:val="0"/>
              <w:marTop w:val="0"/>
              <w:marBottom w:val="0"/>
              <w:divBdr>
                <w:top w:val="none" w:sz="0" w:space="0" w:color="auto"/>
                <w:left w:val="none" w:sz="0" w:space="0" w:color="auto"/>
                <w:bottom w:val="none" w:sz="0" w:space="0" w:color="auto"/>
                <w:right w:val="none" w:sz="0" w:space="0" w:color="auto"/>
              </w:divBdr>
              <w:divsChild>
                <w:div w:id="81325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138412">
      <w:bodyDiv w:val="1"/>
      <w:marLeft w:val="0"/>
      <w:marRight w:val="0"/>
      <w:marTop w:val="0"/>
      <w:marBottom w:val="0"/>
      <w:divBdr>
        <w:top w:val="none" w:sz="0" w:space="0" w:color="auto"/>
        <w:left w:val="none" w:sz="0" w:space="0" w:color="auto"/>
        <w:bottom w:val="none" w:sz="0" w:space="0" w:color="auto"/>
        <w:right w:val="none" w:sz="0" w:space="0" w:color="auto"/>
      </w:divBdr>
    </w:div>
    <w:div w:id="1856311677">
      <w:marLeft w:val="0"/>
      <w:marRight w:val="0"/>
      <w:marTop w:val="0"/>
      <w:marBottom w:val="0"/>
      <w:divBdr>
        <w:top w:val="none" w:sz="0" w:space="0" w:color="auto"/>
        <w:left w:val="none" w:sz="0" w:space="0" w:color="auto"/>
        <w:bottom w:val="none" w:sz="0" w:space="0" w:color="auto"/>
        <w:right w:val="none" w:sz="0" w:space="0" w:color="auto"/>
      </w:divBdr>
    </w:div>
    <w:div w:id="1856311678">
      <w:marLeft w:val="0"/>
      <w:marRight w:val="0"/>
      <w:marTop w:val="0"/>
      <w:marBottom w:val="0"/>
      <w:divBdr>
        <w:top w:val="none" w:sz="0" w:space="0" w:color="auto"/>
        <w:left w:val="none" w:sz="0" w:space="0" w:color="auto"/>
        <w:bottom w:val="none" w:sz="0" w:space="0" w:color="auto"/>
        <w:right w:val="none" w:sz="0" w:space="0" w:color="auto"/>
      </w:divBdr>
    </w:div>
    <w:div w:id="1856311679">
      <w:marLeft w:val="0"/>
      <w:marRight w:val="0"/>
      <w:marTop w:val="0"/>
      <w:marBottom w:val="0"/>
      <w:divBdr>
        <w:top w:val="none" w:sz="0" w:space="0" w:color="auto"/>
        <w:left w:val="none" w:sz="0" w:space="0" w:color="auto"/>
        <w:bottom w:val="none" w:sz="0" w:space="0" w:color="auto"/>
        <w:right w:val="none" w:sz="0" w:space="0" w:color="auto"/>
      </w:divBdr>
    </w:div>
    <w:div w:id="1856311680">
      <w:marLeft w:val="0"/>
      <w:marRight w:val="0"/>
      <w:marTop w:val="0"/>
      <w:marBottom w:val="0"/>
      <w:divBdr>
        <w:top w:val="none" w:sz="0" w:space="0" w:color="auto"/>
        <w:left w:val="none" w:sz="0" w:space="0" w:color="auto"/>
        <w:bottom w:val="none" w:sz="0" w:space="0" w:color="auto"/>
        <w:right w:val="none" w:sz="0" w:space="0" w:color="auto"/>
      </w:divBdr>
    </w:div>
    <w:div w:id="1856311681">
      <w:marLeft w:val="0"/>
      <w:marRight w:val="0"/>
      <w:marTop w:val="0"/>
      <w:marBottom w:val="0"/>
      <w:divBdr>
        <w:top w:val="none" w:sz="0" w:space="0" w:color="auto"/>
        <w:left w:val="none" w:sz="0" w:space="0" w:color="auto"/>
        <w:bottom w:val="none" w:sz="0" w:space="0" w:color="auto"/>
        <w:right w:val="none" w:sz="0" w:space="0" w:color="auto"/>
      </w:divBdr>
    </w:div>
    <w:div w:id="1955092647">
      <w:bodyDiv w:val="1"/>
      <w:marLeft w:val="0"/>
      <w:marRight w:val="0"/>
      <w:marTop w:val="0"/>
      <w:marBottom w:val="0"/>
      <w:divBdr>
        <w:top w:val="none" w:sz="0" w:space="0" w:color="auto"/>
        <w:left w:val="none" w:sz="0" w:space="0" w:color="auto"/>
        <w:bottom w:val="none" w:sz="0" w:space="0" w:color="auto"/>
        <w:right w:val="none" w:sz="0" w:space="0" w:color="auto"/>
      </w:divBdr>
    </w:div>
    <w:div w:id="1986815818">
      <w:bodyDiv w:val="1"/>
      <w:marLeft w:val="0"/>
      <w:marRight w:val="0"/>
      <w:marTop w:val="0"/>
      <w:marBottom w:val="0"/>
      <w:divBdr>
        <w:top w:val="none" w:sz="0" w:space="0" w:color="auto"/>
        <w:left w:val="none" w:sz="0" w:space="0" w:color="auto"/>
        <w:bottom w:val="none" w:sz="0" w:space="0" w:color="auto"/>
        <w:right w:val="none" w:sz="0" w:space="0" w:color="auto"/>
      </w:divBdr>
    </w:div>
    <w:div w:id="2105953458">
      <w:bodyDiv w:val="1"/>
      <w:marLeft w:val="0"/>
      <w:marRight w:val="0"/>
      <w:marTop w:val="0"/>
      <w:marBottom w:val="0"/>
      <w:divBdr>
        <w:top w:val="none" w:sz="0" w:space="0" w:color="auto"/>
        <w:left w:val="none" w:sz="0" w:space="0" w:color="auto"/>
        <w:bottom w:val="none" w:sz="0" w:space="0" w:color="auto"/>
        <w:right w:val="none" w:sz="0" w:space="0" w:color="auto"/>
      </w:divBdr>
      <w:divsChild>
        <w:div w:id="795412281">
          <w:marLeft w:val="0"/>
          <w:marRight w:val="0"/>
          <w:marTop w:val="0"/>
          <w:marBottom w:val="0"/>
          <w:divBdr>
            <w:top w:val="none" w:sz="0" w:space="0" w:color="auto"/>
            <w:left w:val="none" w:sz="0" w:space="0" w:color="auto"/>
            <w:bottom w:val="none" w:sz="0" w:space="0" w:color="auto"/>
            <w:right w:val="none" w:sz="0" w:space="0" w:color="auto"/>
          </w:divBdr>
        </w:div>
        <w:div w:id="1365209905">
          <w:marLeft w:val="0"/>
          <w:marRight w:val="0"/>
          <w:marTop w:val="0"/>
          <w:marBottom w:val="0"/>
          <w:divBdr>
            <w:top w:val="none" w:sz="0" w:space="0" w:color="auto"/>
            <w:left w:val="none" w:sz="0" w:space="0" w:color="auto"/>
            <w:bottom w:val="none" w:sz="0" w:space="0" w:color="auto"/>
            <w:right w:val="none" w:sz="0" w:space="0" w:color="auto"/>
          </w:divBdr>
          <w:divsChild>
            <w:div w:id="275143999">
              <w:marLeft w:val="0"/>
              <w:marRight w:val="0"/>
              <w:marTop w:val="0"/>
              <w:marBottom w:val="0"/>
              <w:divBdr>
                <w:top w:val="none" w:sz="0" w:space="0" w:color="auto"/>
                <w:left w:val="none" w:sz="0" w:space="0" w:color="auto"/>
                <w:bottom w:val="none" w:sz="0" w:space="0" w:color="auto"/>
                <w:right w:val="none" w:sz="0" w:space="0" w:color="auto"/>
              </w:divBdr>
            </w:div>
          </w:divsChild>
        </w:div>
        <w:div w:id="106509556">
          <w:marLeft w:val="0"/>
          <w:marRight w:val="0"/>
          <w:marTop w:val="0"/>
          <w:marBottom w:val="0"/>
          <w:divBdr>
            <w:top w:val="none" w:sz="0" w:space="0" w:color="auto"/>
            <w:left w:val="none" w:sz="0" w:space="0" w:color="auto"/>
            <w:bottom w:val="none" w:sz="0" w:space="0" w:color="auto"/>
            <w:right w:val="none" w:sz="0" w:space="0" w:color="auto"/>
          </w:divBdr>
          <w:divsChild>
            <w:div w:id="1806854675">
              <w:marLeft w:val="0"/>
              <w:marRight w:val="0"/>
              <w:marTop w:val="0"/>
              <w:marBottom w:val="0"/>
              <w:divBdr>
                <w:top w:val="none" w:sz="0" w:space="0" w:color="auto"/>
                <w:left w:val="none" w:sz="0" w:space="0" w:color="auto"/>
                <w:bottom w:val="none" w:sz="0" w:space="0" w:color="auto"/>
                <w:right w:val="none" w:sz="0" w:space="0" w:color="auto"/>
              </w:divBdr>
              <w:divsChild>
                <w:div w:id="103411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32">
          <w:marLeft w:val="0"/>
          <w:marRight w:val="0"/>
          <w:marTop w:val="0"/>
          <w:marBottom w:val="0"/>
          <w:divBdr>
            <w:top w:val="none" w:sz="0" w:space="0" w:color="auto"/>
            <w:left w:val="none" w:sz="0" w:space="0" w:color="auto"/>
            <w:bottom w:val="none" w:sz="0" w:space="0" w:color="auto"/>
            <w:right w:val="none" w:sz="0" w:space="0" w:color="auto"/>
          </w:divBdr>
          <w:divsChild>
            <w:div w:id="1881042287">
              <w:marLeft w:val="0"/>
              <w:marRight w:val="0"/>
              <w:marTop w:val="0"/>
              <w:marBottom w:val="0"/>
              <w:divBdr>
                <w:top w:val="none" w:sz="0" w:space="0" w:color="auto"/>
                <w:left w:val="none" w:sz="0" w:space="0" w:color="auto"/>
                <w:bottom w:val="none" w:sz="0" w:space="0" w:color="auto"/>
                <w:right w:val="none" w:sz="0" w:space="0" w:color="auto"/>
              </w:divBdr>
              <w:divsChild>
                <w:div w:id="1152722926">
                  <w:marLeft w:val="0"/>
                  <w:marRight w:val="0"/>
                  <w:marTop w:val="0"/>
                  <w:marBottom w:val="0"/>
                  <w:divBdr>
                    <w:top w:val="none" w:sz="0" w:space="0" w:color="auto"/>
                    <w:left w:val="none" w:sz="0" w:space="0" w:color="auto"/>
                    <w:bottom w:val="none" w:sz="0" w:space="0" w:color="auto"/>
                    <w:right w:val="none" w:sz="0" w:space="0" w:color="auto"/>
                  </w:divBdr>
                  <w:divsChild>
                    <w:div w:id="1308389656">
                      <w:marLeft w:val="0"/>
                      <w:marRight w:val="0"/>
                      <w:marTop w:val="0"/>
                      <w:marBottom w:val="0"/>
                      <w:divBdr>
                        <w:top w:val="none" w:sz="0" w:space="0" w:color="auto"/>
                        <w:left w:val="none" w:sz="0" w:space="0" w:color="auto"/>
                        <w:bottom w:val="none" w:sz="0" w:space="0" w:color="auto"/>
                        <w:right w:val="none" w:sz="0" w:space="0" w:color="auto"/>
                      </w:divBdr>
                      <w:divsChild>
                        <w:div w:id="720591463">
                          <w:marLeft w:val="0"/>
                          <w:marRight w:val="0"/>
                          <w:marTop w:val="0"/>
                          <w:marBottom w:val="0"/>
                          <w:divBdr>
                            <w:top w:val="none" w:sz="0" w:space="0" w:color="auto"/>
                            <w:left w:val="none" w:sz="0" w:space="0" w:color="auto"/>
                            <w:bottom w:val="none" w:sz="0" w:space="0" w:color="auto"/>
                            <w:right w:val="none" w:sz="0" w:space="0" w:color="auto"/>
                          </w:divBdr>
                          <w:divsChild>
                            <w:div w:id="478423037">
                              <w:marLeft w:val="0"/>
                              <w:marRight w:val="0"/>
                              <w:marTop w:val="0"/>
                              <w:marBottom w:val="0"/>
                              <w:divBdr>
                                <w:top w:val="none" w:sz="0" w:space="0" w:color="auto"/>
                                <w:left w:val="none" w:sz="0" w:space="0" w:color="auto"/>
                                <w:bottom w:val="none" w:sz="0" w:space="0" w:color="auto"/>
                                <w:right w:val="none" w:sz="0" w:space="0" w:color="auto"/>
                              </w:divBdr>
                              <w:divsChild>
                                <w:div w:id="797645980">
                                  <w:marLeft w:val="0"/>
                                  <w:marRight w:val="0"/>
                                  <w:marTop w:val="0"/>
                                  <w:marBottom w:val="0"/>
                                  <w:divBdr>
                                    <w:top w:val="none" w:sz="0" w:space="0" w:color="auto"/>
                                    <w:left w:val="none" w:sz="0" w:space="0" w:color="auto"/>
                                    <w:bottom w:val="none" w:sz="0" w:space="0" w:color="auto"/>
                                    <w:right w:val="none" w:sz="0" w:space="0" w:color="auto"/>
                                  </w:divBdr>
                                  <w:divsChild>
                                    <w:div w:id="19250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83492">
              <w:marLeft w:val="0"/>
              <w:marRight w:val="0"/>
              <w:marTop w:val="0"/>
              <w:marBottom w:val="0"/>
              <w:divBdr>
                <w:top w:val="none" w:sz="0" w:space="0" w:color="auto"/>
                <w:left w:val="none" w:sz="0" w:space="0" w:color="auto"/>
                <w:bottom w:val="none" w:sz="0" w:space="0" w:color="auto"/>
                <w:right w:val="none" w:sz="0" w:space="0" w:color="auto"/>
              </w:divBdr>
              <w:divsChild>
                <w:div w:id="97336786">
                  <w:marLeft w:val="0"/>
                  <w:marRight w:val="0"/>
                  <w:marTop w:val="0"/>
                  <w:marBottom w:val="0"/>
                  <w:divBdr>
                    <w:top w:val="none" w:sz="0" w:space="0" w:color="auto"/>
                    <w:left w:val="none" w:sz="0" w:space="0" w:color="auto"/>
                    <w:bottom w:val="none" w:sz="0" w:space="0" w:color="auto"/>
                    <w:right w:val="none" w:sz="0" w:space="0" w:color="auto"/>
                  </w:divBdr>
                  <w:divsChild>
                    <w:div w:id="1588689183">
                      <w:marLeft w:val="0"/>
                      <w:marRight w:val="0"/>
                      <w:marTop w:val="0"/>
                      <w:marBottom w:val="0"/>
                      <w:divBdr>
                        <w:top w:val="none" w:sz="0" w:space="0" w:color="auto"/>
                        <w:left w:val="none" w:sz="0" w:space="0" w:color="auto"/>
                        <w:bottom w:val="none" w:sz="0" w:space="0" w:color="auto"/>
                        <w:right w:val="none" w:sz="0" w:space="0" w:color="auto"/>
                      </w:divBdr>
                    </w:div>
                    <w:div w:id="1042367816">
                      <w:marLeft w:val="0"/>
                      <w:marRight w:val="0"/>
                      <w:marTop w:val="0"/>
                      <w:marBottom w:val="0"/>
                      <w:divBdr>
                        <w:top w:val="none" w:sz="0" w:space="0" w:color="auto"/>
                        <w:left w:val="none" w:sz="0" w:space="0" w:color="auto"/>
                        <w:bottom w:val="none" w:sz="0" w:space="0" w:color="auto"/>
                        <w:right w:val="none" w:sz="0" w:space="0" w:color="auto"/>
                      </w:divBdr>
                    </w:div>
                  </w:divsChild>
                </w:div>
                <w:div w:id="2090613641">
                  <w:marLeft w:val="0"/>
                  <w:marRight w:val="0"/>
                  <w:marTop w:val="0"/>
                  <w:marBottom w:val="0"/>
                  <w:divBdr>
                    <w:top w:val="none" w:sz="0" w:space="0" w:color="auto"/>
                    <w:left w:val="none" w:sz="0" w:space="0" w:color="auto"/>
                    <w:bottom w:val="none" w:sz="0" w:space="0" w:color="auto"/>
                    <w:right w:val="none" w:sz="0" w:space="0" w:color="auto"/>
                  </w:divBdr>
                  <w:divsChild>
                    <w:div w:id="12866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12562">
          <w:marLeft w:val="0"/>
          <w:marRight w:val="0"/>
          <w:marTop w:val="0"/>
          <w:marBottom w:val="0"/>
          <w:divBdr>
            <w:top w:val="none" w:sz="0" w:space="0" w:color="auto"/>
            <w:left w:val="none" w:sz="0" w:space="0" w:color="auto"/>
            <w:bottom w:val="none" w:sz="0" w:space="0" w:color="auto"/>
            <w:right w:val="none" w:sz="0" w:space="0" w:color="auto"/>
          </w:divBdr>
        </w:div>
        <w:div w:id="1810590674">
          <w:marLeft w:val="0"/>
          <w:marRight w:val="0"/>
          <w:marTop w:val="0"/>
          <w:marBottom w:val="0"/>
          <w:divBdr>
            <w:top w:val="none" w:sz="0" w:space="0" w:color="auto"/>
            <w:left w:val="none" w:sz="0" w:space="0" w:color="auto"/>
            <w:bottom w:val="none" w:sz="0" w:space="0" w:color="auto"/>
            <w:right w:val="none" w:sz="0" w:space="0" w:color="auto"/>
          </w:divBdr>
        </w:div>
      </w:divsChild>
    </w:div>
    <w:div w:id="21292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disclosure.spglobal.com/ratings/en/regulatory/article/-/view/type/HTML/id/3218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540A2-58F7-4A44-976B-4F64A37DC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19938</TotalTime>
  <Pages>15</Pages>
  <Words>4138</Words>
  <Characters>23592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creator>Dean</dc:creator>
  <cp:lastModifiedBy>D Montgomery</cp:lastModifiedBy>
  <cp:revision>949</cp:revision>
  <cp:lastPrinted>2017-03-30T18:14:00Z</cp:lastPrinted>
  <dcterms:created xsi:type="dcterms:W3CDTF">2025-03-14T08:05:00Z</dcterms:created>
  <dcterms:modified xsi:type="dcterms:W3CDTF">2025-04-02T18:05:00Z</dcterms:modified>
</cp:coreProperties>
</file>